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天洋新材 (603330)</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行业：环保粘接材料</w:t>
      </w:r>
    </w:p>
    <w:p>
      <w:pPr>
        <w:jc w:val="center"/>
      </w:pPr>
      <w:r>
        <w:rPr>
          <w:color w:val="595959"/>
          <w:sz w:val="22"/>
          <w:szCs w:val="22"/>
        </w:rPr>
        <w:t xml:space="preserve">报告日期：2026年10月23日</w:t>
      </w:r>
    </w:p>
    <w:p>
      <w:pPr>
        <w:jc w:val="center"/>
      </w:pPr>
      <w:r>
        <w:rPr>
          <w:color w:val="595959"/>
          <w:sz w:val="20"/>
          <w:szCs w:val="20"/>
        </w:rPr>
        <w:t xml:space="preserve">行情截至2026-10-22收盘</w:t>
      </w:r>
    </w:p>
    <w:p>
      <w:pPr>
        <w:spacing w:before="800"/>
        <w:jc w:val="center"/>
      </w:pPr>
      <w:r>
        <w:rPr>
          <w:i/>
          <w:iCs/>
          <w:color w:val="595959"/>
          <w:sz w:val="18"/>
          <w:szCs w:val="18"/>
        </w:rPr>
        <w:t xml:space="preserve">本报告基于公开信息由AI自动整理生成，仅供参考，不构成投资建议</w:t>
      </w:r>
    </w:p>
    <w:p>
      <w:r>
        <w:br w:type="page"/>
      </w:r>
    </w:p>
    <w:p>
      <w:pPr>
        <w:spacing w:after="160" w:line="300"/>
      </w:pPr>
      <w:r>
        <w:rPr>
          <w:b/>
          <w:bCs/>
          <w:color w:val="1F4E79"/>
          <w:sz w:val="22"/>
          <w:szCs w:val="22"/>
        </w:rPr>
        <w:t xml:space="preserve">核心结论：扭亏初现但收入未止跌，历史高估值要求盈利修复兑现</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3200"/>
        <w:gridCol w:w="6700"/>
      </w:tblGrid>
      <w:tr>
        <w:trPr>
          <w:tblHeader/>
        </w:trPr>
        <w:tc>
          <w:tcPr>
            <w:tcW w:type="dxa" w:w="3200"/>
            <w:shd w:fill="1F4E79" w:val="clear"/>
            <w:tcMar>
              <w:top w:type="dxa" w:w="80"/>
              <w:left w:type="dxa" w:w="100"/>
              <w:bottom w:type="dxa" w:w="80"/>
              <w:right w:type="dxa" w:w="100"/>
            </w:tcMar>
            <w:vAlign w:val="center"/>
          </w:tcPr>
          <w:p>
            <w:pPr>
              <w:jc w:val="center"/>
            </w:pPr>
            <w:r>
              <w:rPr>
                <w:b/>
                <w:bCs/>
                <w:color w:val="FFFFFF"/>
                <w:sz w:val="20"/>
                <w:szCs w:val="20"/>
              </w:rPr>
              <w:t xml:space="preserve">关键数据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收盘价（当日涨跌幅）</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11.10元（+10.01%）</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约48.03亿元</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亏损，不适用</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3.64倍</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5.51～12.93元</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成交额/换手率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13.90亿元／31.09%</w:t>
            </w:r>
          </w:p>
        </w:tc>
      </w:tr>
    </w:tbl>
    <w:p>
      <w:pPr>
        <w:spacing w:before="200"/>
      </w:pPr>
    </w:p>
    <w:p>
      <w:pPr>
        <w:spacing w:after="200"/>
      </w:pPr>
      <w:r>
        <w:rPr>
          <w:i/>
          <w:iCs/>
          <w:color w:val="595959"/>
          <w:sz w:val="18"/>
          <w:szCs w:val="18"/>
        </w:rPr>
        <w:t xml:space="preserve">行情数据截至：2026-10-22收盘</w:t>
      </w:r>
    </w:p>
    <w:p>
      <w:pPr>
        <w:pStyle w:val="Heading1"/>
        <w:pBdr>
          <w:bottom w:val="single" w:color="1F4E79" w:sz="6" w:space="4"/>
        </w:pBdr>
        <w:spacing w:after="160" w:before="360"/>
      </w:pPr>
      <w:r>
        <w:rPr>
          <w:b/>
          <w:bCs/>
          <w:color w:val="1F4E79"/>
          <w:sz w:val="30"/>
          <w:szCs w:val="30"/>
        </w:rPr>
        <w:t xml:space="preserve">一、投资要点</w:t>
      </w:r>
    </w:p>
    <w:p>
      <w:pPr>
        <w:pStyle w:val="ListParagraph"/>
        <w:numPr>
          <w:ilvl w:val="0"/>
          <w:numId w:val="2"/>
        </w:numPr>
        <w:spacing w:after="80" w:line="280"/>
      </w:pPr>
      <w:r>
        <w:rPr>
          <w:b/>
          <w:bCs/>
          <w:sz w:val="22"/>
          <w:szCs w:val="22"/>
        </w:rPr>
        <w:t xml:space="preserve">扭亏已现但收入仍收缩</w:t>
      </w:r>
      <w:r>
        <w:rPr>
          <w:sz w:val="22"/>
          <w:szCs w:val="22"/>
        </w:rPr>
        <w:t xml:space="preserve">：2026年上半年营收3.37亿元、同比下降28.04%；归母净利润0.06亿元，扣非净利润同比增长145.13%，盈利刚转正。</w:t>
      </w:r>
    </w:p>
    <w:p>
      <w:pPr>
        <w:pStyle w:val="ListParagraph"/>
        <w:numPr>
          <w:ilvl w:val="0"/>
          <w:numId w:val="2"/>
        </w:numPr>
        <w:spacing w:after="80" w:line="280"/>
      </w:pPr>
      <w:r>
        <w:rPr>
          <w:b/>
          <w:bCs/>
          <w:sz w:val="22"/>
          <w:szCs w:val="22"/>
        </w:rPr>
        <w:t xml:space="preserve">胶膜退出改善结构，修复仍待持续</w:t>
      </w:r>
      <w:r>
        <w:rPr>
          <w:sz w:val="22"/>
          <w:szCs w:val="22"/>
        </w:rPr>
        <w:t xml:space="preserve">：剔除上年同期光伏收入后，上半年主营收入同比增长9.2%，主营毛利率提升9.77个百分点；光伏胶膜业务报告期内逐渐减少并停止。</w:t>
      </w:r>
    </w:p>
    <w:p>
      <w:pPr>
        <w:pStyle w:val="ListParagraph"/>
        <w:numPr>
          <w:ilvl w:val="0"/>
          <w:numId w:val="2"/>
        </w:numPr>
        <w:spacing w:after="80" w:line="280"/>
      </w:pPr>
      <w:r>
        <w:rPr>
          <w:b/>
          <w:bCs/>
          <w:sz w:val="22"/>
          <w:szCs w:val="22"/>
        </w:rPr>
        <w:t xml:space="preserve">股价与估值均处高位区间</w:t>
      </w:r>
      <w:r>
        <w:rPr>
          <w:sz w:val="22"/>
          <w:szCs w:val="22"/>
        </w:rPr>
        <w:t xml:space="preserve">：10月22日收盘11.10元；PB 3.64倍、近5.2年73%分位，PS 6.59倍、处近5.2年100%分位；PE因亏损不适用。</w:t>
      </w:r>
    </w:p>
    <w:p>
      <w:pPr>
        <w:pStyle w:val="Heading2"/>
        <w:spacing w:after="120" w:before="240"/>
      </w:pPr>
      <w:r>
        <w:rPr>
          <w:b/>
          <w:bCs/>
          <w:color w:val="2E74B5"/>
          <w:sz w:val="24"/>
          <w:szCs w:val="24"/>
        </w:rPr>
        <w:t xml:space="preserve">市场预期与证据</w:t>
      </w:r>
    </w:p>
    <w:p>
      <w:pPr>
        <w:pStyle w:val="ListParagraph"/>
        <w:numPr>
          <w:ilvl w:val="0"/>
          <w:numId w:val="2"/>
        </w:numPr>
        <w:spacing w:after="80" w:line="280"/>
      </w:pPr>
      <w:r>
        <w:rPr>
          <w:b/>
          <w:bCs/>
          <w:sz w:val="22"/>
          <w:szCs w:val="22"/>
        </w:rPr>
        <w:t xml:space="preserve">市场在定价</w:t>
      </w:r>
      <w:r>
        <w:rPr>
          <w:sz w:val="22"/>
          <w:szCs w:val="22"/>
        </w:rPr>
        <w:t xml:space="preserve">：近六个月无机构盈利预测，暂无一致预期增速可比；PE因亏损不适用，PB与PS分别处近5.2年73%和100%分位，价格隐含盈利修复需持续兑现，但无法据此量化市场隐含EPS增速。</w:t>
      </w:r>
    </w:p>
    <w:p>
      <w:pPr>
        <w:pStyle w:val="ListParagraph"/>
        <w:numPr>
          <w:ilvl w:val="0"/>
          <w:numId w:val="2"/>
        </w:numPr>
        <w:spacing w:after="80" w:line="280"/>
      </w:pPr>
      <w:r>
        <w:rPr>
          <w:b/>
          <w:bCs/>
          <w:sz w:val="22"/>
          <w:szCs w:val="22"/>
        </w:rPr>
        <w:t xml:space="preserve">证据显示</w:t>
      </w:r>
      <w:r>
        <w:rPr>
          <w:sz w:val="22"/>
          <w:szCs w:val="22"/>
        </w:rPr>
        <w:t xml:space="preserve">：上半年剔除光伏收入后主营业务增长、毛利率改善并实现扭亏，支持修复逻辑；但总营收仍降28.04%，且单季度归母净利环比下降17.12%，改善持续性尚待验证。</w:t>
      </w:r>
    </w:p>
    <w:p>
      <w:pPr>
        <w:spacing w:after="160" w:line="300"/>
      </w:pPr>
      <w:r>
        <w:rPr>
          <w:b/>
          <w:bCs/>
          <w:color w:val="1F4E79"/>
          <w:sz w:val="22"/>
          <w:szCs w:val="22"/>
        </w:rPr>
        <w:t xml:space="preserve">证据倾向：证据不足；置信度：低（无机构盈利预测、部分论据存在期间或口径冲突，已屏蔽相关判断）</w:t>
      </w:r>
    </w:p>
    <w:p>
      <w:pPr>
        <w:spacing w:after="160" w:line="300"/>
      </w:pPr>
      <w:r>
        <w:rPr>
          <w:sz w:val="22"/>
          <w:szCs w:val="22"/>
        </w:rPr>
        <w:t xml:space="preserve">部分论据期间或口径未一致，相关比较已撤回。</w:t>
      </w:r>
    </w:p>
    <w:p>
      <w:pPr>
        <w:pStyle w:val="Heading1"/>
        <w:pBdr>
          <w:bottom w:val="single" w:color="1F4E79" w:sz="6" w:space="4"/>
        </w:pBdr>
        <w:spacing w:after="160" w:before="360"/>
      </w:pPr>
      <w:r>
        <w:rPr>
          <w:b/>
          <w:bCs/>
          <w:color w:val="1F4E79"/>
          <w:sz w:val="30"/>
          <w:szCs w:val="30"/>
        </w:rPr>
        <w:t xml:space="preserve">二、生意与竞争力</w:t>
      </w:r>
    </w:p>
    <w:p>
      <w:pPr>
        <w:pStyle w:val="Heading2"/>
        <w:spacing w:after="120" w:before="240"/>
      </w:pPr>
      <w:r>
        <w:rPr>
          <w:b/>
          <w:bCs/>
          <w:color w:val="2E74B5"/>
          <w:sz w:val="24"/>
          <w:szCs w:val="24"/>
        </w:rPr>
        <w:t xml:space="preserve">2.1 业务结构</w:t>
      </w:r>
    </w:p>
    <w:p>
      <w:pPr>
        <w:spacing w:after="160" w:line="300"/>
      </w:pPr>
      <w:r>
        <w:rPr>
          <w:sz w:val="22"/>
          <w:szCs w:val="22"/>
        </w:rPr>
        <w:t xml:space="preserve">向纺织、鞋材、汽车、电子等客户销售热熔胶、反应型胶黏剂及相关产品，按原料成本和市场供求定价。</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000"/>
        <w:gridCol w:w="1400"/>
        <w:gridCol w:w="1300"/>
        <w:gridCol w:w="1400"/>
        <w:gridCol w:w="3800"/>
      </w:tblGrid>
      <w:tr>
        <w:trPr>
          <w:tblHeader/>
        </w:trPr>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业务板块</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收入占比</w:t>
            </w:r>
          </w:p>
        </w:tc>
        <w:tc>
          <w:tcPr>
            <w:tcW w:type="dxa" w:w="13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收入增速</w:t>
            </w:r>
          </w:p>
        </w:tc>
        <w:tc>
          <w:tcPr>
            <w:tcW w:type="dxa" w:w="3800"/>
            <w:shd w:fill="1F4E79" w:val="clear"/>
            <w:tcMar>
              <w:top w:type="dxa" w:w="80"/>
              <w:left w:type="dxa" w:w="100"/>
              <w:bottom w:type="dxa" w:w="80"/>
              <w:right w:type="dxa" w:w="100"/>
            </w:tcMar>
            <w:vAlign w:val="center"/>
          </w:tcPr>
          <w:p>
            <w:pPr>
              <w:jc w:val="center"/>
            </w:pPr>
            <w:r>
              <w:rPr>
                <w:b/>
                <w:bCs/>
                <w:color w:val="FFFFFF"/>
                <w:sz w:val="20"/>
                <w:szCs w:val="20"/>
              </w:rPr>
              <w:t xml:space="preserve">要点</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热熔胶</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49.40%（2025年主营业务收入口径）</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27.34%</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-2.03%</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最大收入板块；销量增0.26%，库存增21.10%</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光伏封装胶膜</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23.28%（2025年主营业务收入口径）</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-13.44%</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-69.30%</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低价竞争，报告期内逐渐减少并停止业务</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反应型胶黏剂</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20.75%（2025年主营业务收入口径）</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54.71%</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8.64%</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收入增长，披露产品中毛利率最高</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热熔墙布、窗帘</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5.57%（2025年主营业务收入口径）</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33.20%</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-14.81%</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收入收缩，相关长期资产计提减值</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其他</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1.01%（2025年主营业务收入口径）</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15.42%</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-41.29%</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收入体量较小</w:t>
            </w:r>
          </w:p>
        </w:tc>
      </w:tr>
    </w:tbl>
    <w:p>
      <w:pPr>
        <w:spacing w:before="200"/>
      </w:pPr>
    </w:p>
    <w:p>
      <w:pPr>
        <w:pStyle w:val="Heading2"/>
        <w:spacing w:after="120" w:before="240"/>
      </w:pPr>
      <w:r>
        <w:rPr>
          <w:b/>
          <w:bCs/>
          <w:color w:val="2E74B5"/>
          <w:sz w:val="24"/>
          <w:szCs w:val="24"/>
        </w:rPr>
        <w:t xml:space="preserve">2.2 竞争优势</w:t>
      </w:r>
    </w:p>
    <w:p>
      <w:pPr>
        <w:spacing w:after="160" w:line="300"/>
      </w:pPr>
      <w:r>
        <w:rPr>
          <w:b/>
          <w:bCs/>
          <w:color w:val="1F4E79"/>
          <w:sz w:val="22"/>
          <w:szCs w:val="22"/>
        </w:rPr>
        <w:t xml:space="preserve">竞争优势强度：弱</w:t>
      </w:r>
    </w:p>
    <w:p>
      <w:pPr>
        <w:pStyle w:val="ListParagraph"/>
        <w:numPr>
          <w:ilvl w:val="0"/>
          <w:numId w:val="2"/>
        </w:numPr>
        <w:spacing w:after="80" w:line="280"/>
      </w:pPr>
      <w:r>
        <w:rPr>
          <w:sz w:val="22"/>
          <w:szCs w:val="22"/>
        </w:rPr>
        <w:t xml:space="preserve">配方与应用开发：年报列示多项胶黏剂新品，独立市场份额证据不足</w:t>
      </w:r>
    </w:p>
    <w:p>
      <w:pPr>
        <w:pStyle w:val="ListParagraph"/>
        <w:numPr>
          <w:ilvl w:val="0"/>
          <w:numId w:val="2"/>
        </w:numPr>
        <w:spacing w:after="80" w:line="280"/>
      </w:pPr>
      <w:r>
        <w:rPr>
          <w:sz w:val="22"/>
          <w:szCs w:val="22"/>
        </w:rPr>
        <w:t xml:space="preserve">客户与品牌积累：年报称覆盖国内外客户，未披露细分市场份额或复购数据</w:t>
      </w:r>
    </w:p>
    <w:p>
      <w:pPr>
        <w:pStyle w:val="ListParagraph"/>
        <w:numPr>
          <w:ilvl w:val="0"/>
          <w:numId w:val="2"/>
        </w:numPr>
        <w:spacing w:after="80" w:line="280"/>
      </w:pPr>
      <w:r>
        <w:rPr>
          <w:sz w:val="22"/>
          <w:szCs w:val="22"/>
        </w:rPr>
        <w:t xml:space="preserve">制造规模：2025年热熔胶产量2.08万吨、销量1.78万吨，库存同比增21.10%</w:t>
      </w:r>
    </w:p>
    <w:p>
      <w:pPr>
        <w:spacing w:after="160" w:line="300"/>
      </w:pPr>
      <w:r>
        <w:rPr>
          <w:sz w:val="22"/>
          <w:szCs w:val="22"/>
        </w:rPr>
        <w:t xml:space="preserve">主要威胁：石化原料成本传导受市场供求制约；低价竞争、产能利用不足及历史资产减值可能继续压制盈利。</w:t>
      </w:r>
    </w:p>
    <w:p>
      <w:pPr>
        <w:pStyle w:val="Heading2"/>
        <w:spacing w:after="120" w:before="240"/>
      </w:pPr>
      <w:r>
        <w:rPr>
          <w:b/>
          <w:bCs/>
          <w:color w:val="2E74B5"/>
          <w:sz w:val="24"/>
          <w:szCs w:val="24"/>
        </w:rPr>
        <w:t xml:space="preserve">2.3 产业链位置与盈利趋势</w:t>
      </w:r>
    </w:p>
    <w:p>
      <w:pPr>
        <w:pStyle w:val="ListParagraph"/>
        <w:numPr>
          <w:ilvl w:val="0"/>
          <w:numId w:val="2"/>
        </w:numPr>
        <w:spacing w:after="80" w:line="280"/>
      </w:pPr>
      <w:r>
        <w:rPr>
          <w:sz w:val="22"/>
          <w:szCs w:val="22"/>
        </w:rPr>
        <w:t xml:space="preserve">热熔胶主要用癸二胺、己内酰胺、PA、PES、TPU、EVA、PO等；电子胶涉及树脂、固化剂及多元醇等。</w:t>
      </w:r>
    </w:p>
    <w:p>
      <w:pPr>
        <w:pStyle w:val="ListParagraph"/>
        <w:numPr>
          <w:ilvl w:val="0"/>
          <w:numId w:val="2"/>
        </w:numPr>
        <w:spacing w:after="80" w:line="280"/>
      </w:pPr>
      <w:r>
        <w:rPr>
          <w:sz w:val="22"/>
          <w:szCs w:val="22"/>
        </w:rPr>
        <w:t xml:space="preserve">光伏胶膜主要原料为EVA粒子，部分向国际厂商采购；原料受石油、供需及汇率影响，公司整体是价格接受者，成本能否传导至售价决定利润表现。</w:t>
      </w:r>
    </w:p>
    <w:p>
      <w:pPr>
        <w:pStyle w:val="ListParagraph"/>
        <w:numPr>
          <w:ilvl w:val="0"/>
          <w:numId w:val="2"/>
        </w:numPr>
        <w:spacing w:after="80" w:line="280"/>
      </w:pPr>
      <w:r>
        <w:rPr>
          <w:sz w:val="22"/>
          <w:szCs w:val="22"/>
        </w:rPr>
        <w:t xml:space="preserve">热熔胶客户覆盖纺织、鞋材、汽车内饰、包装及家居建材；电子胶面向微电子、家电、汽车、电机等客户。</w:t>
      </w:r>
    </w:p>
    <w:p>
      <w:pPr>
        <w:pStyle w:val="ListParagraph"/>
        <w:numPr>
          <w:ilvl w:val="0"/>
          <w:numId w:val="2"/>
        </w:numPr>
        <w:spacing w:after="80" w:line="280"/>
      </w:pPr>
      <w:r>
        <w:rPr>
          <w:sz w:val="22"/>
          <w:szCs w:val="22"/>
        </w:rPr>
        <w:t xml:space="preserve">产品跨多个下游，年报披露定价随原料价格与市场供求调整；不宜套用汽车零部件常见的OEM年度降价模式。</w:t>
      </w:r>
    </w:p>
    <w:p>
      <w:pPr>
        <w:pStyle w:val="ListParagraph"/>
        <w:numPr>
          <w:ilvl w:val="0"/>
          <w:numId w:val="2"/>
        </w:numPr>
        <w:spacing w:after="80" w:line="280"/>
      </w:pPr>
      <w:r>
        <w:rPr>
          <w:sz w:val="22"/>
          <w:szCs w:val="22"/>
        </w:rPr>
        <w:t xml:space="preserve">2025年年报：前五大客户销售额占年度销售总额22.86%；仅为年度整体口径，不能推断各产品客户集中度相同。</w:t>
      </w:r>
    </w:p>
    <w:p>
      <w:pPr>
        <w:pStyle w:val="ListParagraph"/>
        <w:numPr>
          <w:ilvl w:val="0"/>
          <w:numId w:val="2"/>
        </w:numPr>
        <w:spacing w:after="80" w:line="280"/>
      </w:pPr>
      <w:r>
        <w:rPr>
          <w:sz w:val="22"/>
          <w:szCs w:val="22"/>
        </w:rPr>
        <w:t xml:space="preserve">2025年末应收账款余额2.888亿元，约为全年合并收入的33.6%；收入下滑背景下该比例仅反映资金占用，不能替代周转天数。公司称部分超期应收款已采取诉讼等措施。</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800"/>
        <w:gridCol w:w="1800"/>
        <w:gridCol w:w="48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800"/>
            <w:shd w:fill="1F4E79" w:val="clear"/>
            <w:tcMar>
              <w:top w:type="dxa" w:w="80"/>
              <w:left w:type="dxa" w:w="100"/>
              <w:bottom w:type="dxa" w:w="80"/>
              <w:right w:type="dxa" w:w="100"/>
            </w:tcMar>
            <w:vAlign w:val="center"/>
          </w:tcPr>
          <w:p>
            <w:pPr>
              <w:jc w:val="center"/>
            </w:pPr>
            <w:r>
              <w:rPr>
                <w:b/>
                <w:bCs/>
                <w:color w:val="FFFFFF"/>
                <w:sz w:val="20"/>
                <w:szCs w:val="20"/>
              </w:rPr>
              <w:t xml:space="preserve">变动原因</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25.64%</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10.32%</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EVA粒子等原料大幅涨价，主营毛利率同比下降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14.90%</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-3.97%</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原料涨价传导不足，年末价格下跌引发存货跌价</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11.85%</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-7.11%</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胶膜竞争及售价压力延续，胶膜毛利转负</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13.60%</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-16.13%</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毛利率小幅回升，减值及期间费用等仍压低利润</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21.92%</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-28.37%</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低毛利光伏业务收缩改善结构，资产减值扩大亏损</w:t>
            </w:r>
          </w:p>
        </w:tc>
      </w:tr>
    </w:tbl>
    <w:p>
      <w:pPr>
        <w:spacing w:before="200"/>
      </w:pPr>
    </w:p>
    <w:p>
      <w:pPr>
        <w:spacing w:after="160" w:line="300"/>
      </w:pPr>
      <w:r>
        <w:rPr>
          <w:sz w:val="22"/>
          <w:szCs w:val="22"/>
        </w:rPr>
        <w:t xml:space="preserve">公司处于化工配方型粘接材料中游加工环节，热熔胶有一定规模基础，反应型胶黏剂毛利较高，但缺乏上游定价权。利润改善更依赖高毛利产品占比提升、成本控制及应用拓展。</w:t>
      </w:r>
    </w:p>
    <w:p>
      <w:pPr>
        <w:pStyle w:val="Heading2"/>
        <w:spacing w:after="120" w:before="240"/>
      </w:pPr>
      <w:r>
        <w:rPr>
          <w:b/>
          <w:bCs/>
          <w:color w:val="2E74B5"/>
          <w:sz w:val="24"/>
          <w:szCs w:val="24"/>
        </w:rPr>
        <w:t xml:space="preserve">2.4 行业与同行对比</w:t>
      </w:r>
    </w:p>
    <w:p>
      <w:pPr>
        <w:spacing w:after="160" w:line="300"/>
      </w:pPr>
      <w:r>
        <w:rPr>
          <w:sz w:val="22"/>
          <w:szCs w:val="22"/>
        </w:rPr>
        <w:t xml:space="preserve">公司正收缩低价竞争的光伏胶膜业务，收入结构转向热熔胶与反应型胶黏剂；后续利润修复关键在高毛利产品占比和原料成本传导。</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300"/>
        <w:gridCol w:w="2600"/>
        <w:gridCol w:w="29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3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可比数据</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与本公司差异</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回天新材（300041）</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工业胶粘剂、聚氨酯胶及电子/新能源用胶</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2025年营收44.36亿元；毛利率23.61%；PE(TTM) 21.74倍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规模更大、产品覆盖更广；天洋新材反应型胶黏剂毛利率较高但整体亏损</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聚胶股份（301283）</w:t>
            </w:r>
          </w:p>
        </w:tc>
        <w:tc>
          <w:tcPr>
            <w:tcW w:type="dxa" w:w="2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环保热熔胶，侧重妇幼卫生用品等消费领域</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2025年营收21.52亿元；毛利率20.35%；PE(TTM) 14.92倍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热熔胶有重叠但下游应用不同；天洋新材业务还包括电子胶及墙布等</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硅宝科技（300019）</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有机硅密封胶及粘接材料</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2025年营收37.51亿元；毛利率—；PE(TTM) 22.96倍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与天洋新材电子胶及工业粘接材料部分重叠，产品结构不同</w:t>
            </w:r>
          </w:p>
        </w:tc>
      </w:tr>
    </w:tbl>
    <w:p>
      <w:pPr>
        <w:spacing w:before="200"/>
      </w:pPr>
    </w:p>
    <w:p>
      <w:pPr>
        <w:spacing w:after="160" w:line="300"/>
      </w:pPr>
      <w:r>
        <w:rPr>
          <w:sz w:val="22"/>
          <w:szCs w:val="22"/>
        </w:rPr>
        <w:t xml:space="preserve">天洋新材反应型胶黏剂毛利率较高，热熔胶具备一定制造规模；但光伏业务收缩、2025年归母亏损，整体盈利稳定性弱于已盈利的可比公司。</w:t>
      </w:r>
    </w:p>
    <w:p>
      <w:pPr>
        <w:pStyle w:val="Heading1"/>
        <w:pBdr>
          <w:bottom w:val="single" w:color="1F4E79" w:sz="6" w:space="4"/>
        </w:pBdr>
        <w:spacing w:after="160" w:before="360"/>
      </w:pPr>
      <w:r>
        <w:rPr>
          <w:b/>
          <w:bCs/>
          <w:color w:val="1F4E79"/>
          <w:sz w:val="30"/>
          <w:szCs w:val="30"/>
        </w:rPr>
        <w:t xml:space="preserve">三、财务质量</w:t>
      </w:r>
    </w:p>
    <w:p>
      <w:pPr>
        <w:pStyle w:val="Heading2"/>
        <w:spacing w:after="120" w:before="240"/>
      </w:pPr>
      <w:r>
        <w:rPr>
          <w:b/>
          <w:bCs/>
          <w:color w:val="2E74B5"/>
          <w:sz w:val="24"/>
          <w:szCs w:val="24"/>
        </w:rPr>
        <w:t xml:space="preserve">3.1 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600"/>
        <w:gridCol w:w="1100"/>
        <w:gridCol w:w="1600"/>
        <w:gridCol w:w="1100"/>
        <w:gridCol w:w="1400"/>
        <w:gridCol w:w="16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扣非同比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2026年中报</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3.37亿元人民币</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-28.04%</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0.06亿元人民币</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+158.37%</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+145.13%</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32.13%</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2025年报</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8.61亿元人民币</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-34.74%</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-2.44亿元人民币</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-14.81%</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-12.97%</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21.92%</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2024年报</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13.19亿元人民币</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-0.50%</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-2.13亿元人民币</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-125.73%</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-105.79%</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13.60%</w:t>
            </w:r>
          </w:p>
        </w:tc>
      </w:tr>
    </w:tbl>
    <w:p>
      <w:pPr>
        <w:spacing w:before="200"/>
      </w:pPr>
    </w:p>
    <w:p>
      <w:pPr>
        <w:spacing w:after="200"/>
      </w:pPr>
      <w:r>
        <w:rPr>
          <w:i/>
          <w:iCs/>
          <w:color w:val="595959"/>
          <w:sz w:val="18"/>
          <w:szCs w:val="18"/>
        </w:rPr>
        <w:t xml:space="preserve">营业收入与归母净利润按同期间官方报表及明确币种列示；调整后盈利与法定利润分别比较。表中营业收入、归母净利润共5项，5项与发行人定期报告原文逐项比对一致。同比增速按原文本期、上期数推算了4项，4项与表中一致。</w:t>
      </w:r>
    </w:p>
    <w:p>
      <w:pPr>
        <w:spacing w:after="160" w:line="300"/>
      </w:pPr>
      <w:r>
        <w:rPr>
          <w:sz w:val="22"/>
          <w:szCs w:val="22"/>
        </w:rPr>
        <w:t xml:space="preserve">2025年亏损受光伏业务退出及相关资产减值影响；2026年上半年剔除上年同期光伏收入后，主营收入同比增长9.2%，主营毛利率提升9.77个百分点，归母与扣非净利转正，但单季度归母净利环比下降17.12%。</w:t>
      </w:r>
    </w:p>
    <w:p>
      <w:pPr>
        <w:pStyle w:val="Heading2"/>
        <w:spacing w:after="120" w:before="240"/>
      </w:pPr>
      <w:r>
        <w:rPr>
          <w:b/>
          <w:bCs/>
          <w:color w:val="2E74B5"/>
          <w:sz w:val="24"/>
          <w:szCs w:val="24"/>
        </w:rPr>
        <w:t xml:space="preserve">3.2 财务健康检查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1100"/>
        <w:gridCol w:w="44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判断</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加权ROE</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2026年中报0.47%</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一般</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盈利刚转正，净资产回报仍低。</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资产负债率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2026年中报27.62%</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良好</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整体杠杆水平较低。</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经营现金流净额/净利润</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2026年中报8.71</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一般</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净利润基数较低，且受停光伏后采购支出减少影响。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应收账款周转天数</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2026年中报133.4天</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较2025年报125.8天增加，回款周期拉长。</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存货周转天数</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2026年中报94.0天</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较2025年报71.5天增加，需观察库存消化。</w:t>
            </w:r>
          </w:p>
        </w:tc>
      </w:tr>
    </w:tbl>
    <w:p>
      <w:pPr>
        <w:spacing w:before="200"/>
      </w:pPr>
    </w:p>
    <w:p>
      <w:pPr>
        <w:pStyle w:val="Heading1"/>
        <w:pBdr>
          <w:bottom w:val="single" w:color="1F4E79" w:sz="6" w:space="4"/>
        </w:pBdr>
        <w:spacing w:after="160" w:before="360"/>
      </w:pPr>
      <w:r>
        <w:rPr>
          <w:b/>
          <w:bCs/>
          <w:color w:val="1F4E79"/>
          <w:sz w:val="30"/>
          <w:szCs w:val="30"/>
        </w:rPr>
        <w:t xml:space="preserve">四、估值与市场预期</w:t>
      </w:r>
    </w:p>
    <w:p>
      <w:pPr>
        <w:pStyle w:val="Heading2"/>
        <w:spacing w:after="120" w:before="240"/>
      </w:pPr>
      <w:r>
        <w:rPr>
          <w:b/>
          <w:bCs/>
          <w:color w:val="2E74B5"/>
          <w:sz w:val="24"/>
          <w:szCs w:val="24"/>
        </w:rPr>
        <w:t xml:space="preserve">4.1 估值水平</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2000"/>
        <w:gridCol w:w="2900"/>
        <w:gridCol w:w="28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自身历史</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同行对比</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3.64倍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近5.2年73%分位（中位数2.36倍）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中位数1.75倍（回天新材1.75、聚胶股份1.67、硅宝科技1.82）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PS(TTM)</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6.59倍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近5.2年100%分位（中位数3.06倍）</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中位数1.15倍（回天新材1.15、聚胶股份1.08、硅宝科技1.29）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股息率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0%</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近12个月无已实施现金分红</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亏损，不适用</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中位数21.74倍（回天新材21.74、聚胶股份14.92、硅宝科技22.96）</w:t>
            </w:r>
          </w:p>
        </w:tc>
      </w:tr>
    </w:tbl>
    <w:p>
      <w:pPr>
        <w:spacing w:before="200"/>
      </w:pPr>
    </w:p>
    <w:p>
      <w:pPr>
        <w:spacing w:after="200"/>
      </w:pPr>
      <w:r>
        <w:rPr>
          <w:i/>
          <w:iCs/>
          <w:color w:val="595959"/>
          <w:sz w:val="18"/>
          <w:szCs w:val="18"/>
        </w:rPr>
        <w:t xml:space="preserve">估值倍数由程序按2026-10-22收盘数据计算（滚动十二个月口径）；同行倍数按2026-10-22收盘数据同口径计算</w:t>
      </w:r>
    </w:p>
    <w:p>
      <w:pPr>
        <w:spacing w:after="160" w:line="300"/>
      </w:pPr>
      <w:r>
        <w:rPr>
          <w:sz w:val="22"/>
          <w:szCs w:val="22"/>
        </w:rPr>
        <w:t xml:space="preserve">截至10月22日，PB 3.64倍、近5.2年73%分位，高于自身2.36倍中位数及可比公司1.67—1.82倍；PS 6.59倍、处近5.2年100%分位，亦高于可比公司1.08—1.29倍。PE(TTM)亏损不适用，同口径历史样本不足，历史高低位置暂不判断。无机构盈利预测，当前估值要求扭亏后盈利修复持续兑现，市场隐含EPS增速无法量化。</w:t>
      </w:r>
    </w:p>
    <w:p>
      <w:pPr>
        <w:pStyle w:val="Heading2"/>
        <w:spacing w:after="120" w:before="240"/>
      </w:pPr>
      <w:r>
        <w:rPr>
          <w:b/>
          <w:bCs/>
          <w:color w:val="2E74B5"/>
          <w:sz w:val="24"/>
          <w:szCs w:val="24"/>
        </w:rPr>
        <w:t xml:space="preserve">4.2 机构观点</w:t>
      </w:r>
    </w:p>
    <w:p>
      <w:pPr>
        <w:spacing w:after="160" w:line="300"/>
      </w:pPr>
      <w:r>
        <w:rPr>
          <w:sz w:val="22"/>
          <w:szCs w:val="22"/>
        </w:rPr>
        <w:t xml:space="preserve">无。</w:t>
      </w:r>
    </w:p>
    <w:p>
      <w:pPr>
        <w:pStyle w:val="Heading1"/>
        <w:pBdr>
          <w:bottom w:val="single" w:color="1F4E79" w:sz="6" w:space="4"/>
        </w:pBdr>
        <w:spacing w:after="160" w:before="360"/>
      </w:pPr>
      <w:r>
        <w:rPr>
          <w:b/>
          <w:bCs/>
          <w:color w:val="1F4E79"/>
          <w:sz w:val="30"/>
          <w:szCs w:val="30"/>
        </w:rPr>
        <w:t xml:space="preserve">五、催化剂与近期事件</w:t>
      </w:r>
    </w:p>
    <w:p>
      <w:pPr>
        <w:pStyle w:val="Heading2"/>
        <w:spacing w:after="120" w:before="240"/>
      </w:pPr>
      <w:r>
        <w:rPr>
          <w:b/>
          <w:bCs/>
          <w:color w:val="2E74B5"/>
          <w:sz w:val="24"/>
          <w:szCs w:val="24"/>
        </w:rPr>
        <w:t xml:space="preserve">5.1 未来关键节点</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000"/>
        <w:gridCol w:w="4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时间</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事件</w:t>
            </w:r>
          </w:p>
        </w:tc>
        <w:tc>
          <w:tcPr>
            <w:tcW w:type="dxa" w:w="4700"/>
            <w:shd w:fill="1F4E79" w:val="clear"/>
            <w:tcMar>
              <w:top w:type="dxa" w:w="80"/>
              <w:left w:type="dxa" w:w="100"/>
              <w:bottom w:type="dxa" w:w="80"/>
              <w:right w:type="dxa" w:w="100"/>
            </w:tcMar>
            <w:vAlign w:val="center"/>
          </w:tcPr>
          <w:p>
            <w:pPr>
              <w:jc w:val="center"/>
            </w:pPr>
            <w:r>
              <w:rPr>
                <w:b/>
                <w:bCs/>
                <w:color w:val="FFFFFF"/>
                <w:sz w:val="20"/>
                <w:szCs w:val="20"/>
              </w:rPr>
              <w:t xml:space="preserve">看点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2026-10-29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2026年三季报预约披露</w:t>
            </w:r>
          </w:p>
        </w:tc>
        <w:tc>
          <w:tcPr>
            <w:tcW w:type="dxa" w:w="4700"/>
            <w:tcMar>
              <w:top w:type="dxa" w:w="80"/>
              <w:left w:type="dxa" w:w="100"/>
              <w:bottom w:type="dxa" w:w="80"/>
              <w:right w:type="dxa" w:w="100"/>
            </w:tcMar>
            <w:vAlign w:val="center"/>
          </w:tcPr>
          <w:p>
            <w:pPr>
              <w:jc w:val="center"/>
            </w:pPr>
            <w:r>
              <w:rPr>
                <w:b w:val="false"/>
                <w:bCs w:val="false"/>
                <w:color w:val="000000"/>
                <w:sz w:val="20"/>
                <w:szCs w:val="20"/>
              </w:rPr>
              <w:t xml:space="preserve">关注主营经营及利润变化，并核实德法瑞处置损益对当期业绩的影响；结果超预期或不及预期均可能放大异动后的股价波动。</w:t>
            </w:r>
          </w:p>
        </w:tc>
      </w:tr>
    </w:tbl>
    <w:p>
      <w:pPr>
        <w:spacing w:before="200"/>
      </w:pPr>
    </w:p>
    <w:p>
      <w:pPr>
        <w:pStyle w:val="Heading2"/>
        <w:spacing w:after="120" w:before="240"/>
      </w:pPr>
      <w:r>
        <w:rPr>
          <w:b/>
          <w:bCs/>
          <w:color w:val="2E74B5"/>
          <w:sz w:val="24"/>
          <w:szCs w:val="24"/>
        </w:rPr>
        <w:t xml:space="preserve">5.2 近期重要事件</w:t>
      </w:r>
    </w:p>
    <w:p>
      <w:pPr>
        <w:pStyle w:val="ListParagraph"/>
        <w:numPr>
          <w:ilvl w:val="0"/>
          <w:numId w:val="2"/>
        </w:numPr>
        <w:spacing w:after="80" w:line="280"/>
      </w:pPr>
      <w:r>
        <w:rPr>
          <w:b/>
          <w:bCs/>
          <w:sz w:val="22"/>
          <w:szCs w:val="22"/>
        </w:rPr>
        <w:t xml:space="preserve">2026-09-29 德法瑞股权出售完成出表（利好）</w:t>
      </w:r>
      <w:r>
        <w:rPr>
          <w:sz w:val="22"/>
          <w:szCs w:val="22"/>
        </w:rPr>
        <w:t xml:space="preserve">：德法瑞已完成工商变更并不再纳入合并报表，过渡期亏损使转让价调整至1.7721亿元。处置亏损资产、回收现金延续业务收缩逻辑，处置损益金额未披露。</w:t>
      </w:r>
    </w:p>
    <w:p>
      <w:pPr>
        <w:pStyle w:val="ListParagraph"/>
        <w:numPr>
          <w:ilvl w:val="0"/>
          <w:numId w:val="2"/>
        </w:numPr>
        <w:spacing w:after="80" w:line="280"/>
      </w:pPr>
      <w:r>
        <w:rPr>
          <w:b/>
          <w:bCs/>
          <w:sz w:val="22"/>
          <w:szCs w:val="22"/>
        </w:rPr>
        <w:t xml:space="preserve">2026-08-26 半年报确认扭亏但未超预期（中性）</w:t>
      </w:r>
      <w:r>
        <w:rPr>
          <w:sz w:val="22"/>
          <w:szCs w:val="22"/>
        </w:rPr>
        <w:t xml:space="preserve">：上半年实际业绩落在此前预盈区间内，属于兑现而非超预期。公司称改善来自停止毛利率为负的光伏胶膜业务及热熔胶毛利额增加。</w:t>
      </w:r>
    </w:p>
    <w:p>
      <w:pPr>
        <w:pStyle w:val="ListParagraph"/>
        <w:numPr>
          <w:ilvl w:val="0"/>
          <w:numId w:val="2"/>
        </w:numPr>
        <w:spacing w:after="80" w:line="280"/>
      </w:pPr>
      <w:r>
        <w:rPr>
          <w:b/>
          <w:bCs/>
          <w:sz w:val="22"/>
          <w:szCs w:val="22"/>
        </w:rPr>
        <w:t xml:space="preserve">2026-10-22 股价异动公告未见重大事项（利空）</w:t>
      </w:r>
      <w:r>
        <w:rPr>
          <w:sz w:val="22"/>
          <w:szCs w:val="22"/>
        </w:rPr>
        <w:t xml:space="preserve">：股价连续三日涨幅偏离值累计超20%，单日换手率最高达32.17%。公司称不存在未披露重大事项且未涉及市场热点概念，短期上涨缺乏新增公司信息支撑。</w:t>
      </w:r>
    </w:p>
    <w:p>
      <w:pPr>
        <w:pStyle w:val="Heading1"/>
        <w:pBdr>
          <w:bottom w:val="single" w:color="1F4E79" w:sz="6" w:space="4"/>
        </w:pBdr>
        <w:spacing w:after="160" w:before="360"/>
      </w:pPr>
      <w:r>
        <w:rPr>
          <w:b/>
          <w:bCs/>
          <w:color w:val="1F4E79"/>
          <w:sz w:val="30"/>
          <w:szCs w:val="30"/>
        </w:rPr>
        <w:t xml:space="preserve">六、多空分歧与风险</w:t>
      </w:r>
    </w:p>
    <w:p>
      <w:pPr>
        <w:pStyle w:val="Heading2"/>
        <w:spacing w:after="120" w:before="240"/>
      </w:pPr>
      <w:r>
        <w:rPr>
          <w:b/>
          <w:bCs/>
          <w:color w:val="2E74B5"/>
          <w:sz w:val="24"/>
          <w:szCs w:val="24"/>
        </w:rPr>
        <w:t xml:space="preserve">6.1 看多理由</w:t>
      </w:r>
    </w:p>
    <w:p>
      <w:pPr>
        <w:pStyle w:val="ListParagraph"/>
        <w:numPr>
          <w:ilvl w:val="0"/>
          <w:numId w:val="2"/>
        </w:numPr>
        <w:spacing w:after="80" w:line="280"/>
      </w:pPr>
      <w:r>
        <w:rPr>
          <w:sz w:val="22"/>
          <w:szCs w:val="22"/>
        </w:rPr>
        <w:t xml:space="preserve">反应型胶黏剂收入增长8.64%、毛利率54.71%，高毛利产品扩张可改善整体盈利结构。</w:t>
      </w:r>
    </w:p>
    <w:p>
      <w:pPr>
        <w:pStyle w:val="ListParagraph"/>
        <w:numPr>
          <w:ilvl w:val="0"/>
          <w:numId w:val="2"/>
        </w:numPr>
        <w:spacing w:after="80" w:line="280"/>
      </w:pPr>
      <w:r>
        <w:rPr>
          <w:sz w:val="22"/>
          <w:szCs w:val="22"/>
        </w:rPr>
        <w:t xml:space="preserve">资产负债率为27.62%，德法瑞完成出表、转让价调整至1.7721亿元，收缩亏损业务有助于减轻经营拖累。</w:t>
      </w:r>
    </w:p>
    <w:p>
      <w:pPr>
        <w:pStyle w:val="Heading2"/>
        <w:spacing w:after="120" w:before="240"/>
      </w:pPr>
      <w:r>
        <w:rPr>
          <w:b/>
          <w:bCs/>
          <w:color w:val="2E74B5"/>
          <w:sz w:val="24"/>
          <w:szCs w:val="24"/>
        </w:rPr>
        <w:t xml:space="preserve">6.2 看空理由</w:t>
      </w:r>
    </w:p>
    <w:p>
      <w:pPr>
        <w:pStyle w:val="ListParagraph"/>
        <w:numPr>
          <w:ilvl w:val="0"/>
          <w:numId w:val="2"/>
        </w:numPr>
        <w:spacing w:after="80" w:line="280"/>
      </w:pPr>
      <w:r>
        <w:rPr>
          <w:sz w:val="22"/>
          <w:szCs w:val="22"/>
        </w:rPr>
        <w:t xml:space="preserve">热熔胶销量仅增0.26%，库存同比增21.10%；最大收入板块的库存消化仍是压力。</w:t>
      </w:r>
    </w:p>
    <w:p>
      <w:pPr>
        <w:pStyle w:val="ListParagraph"/>
        <w:numPr>
          <w:ilvl w:val="0"/>
          <w:numId w:val="2"/>
        </w:numPr>
        <w:spacing w:after="80" w:line="280"/>
      </w:pPr>
      <w:r>
        <w:rPr>
          <w:sz w:val="22"/>
          <w:szCs w:val="22"/>
        </w:rPr>
        <w:t xml:space="preserve">应收账款周转天数升至133.4天，高于2025年报的125.8天，回款周期延长加大经营资金占用。</w:t>
      </w:r>
    </w:p>
    <w:p>
      <w:pPr>
        <w:pStyle w:val="Heading2"/>
        <w:spacing w:after="120" w:before="240"/>
      </w:pPr>
      <w:r>
        <w:rPr>
          <w:b/>
          <w:bCs/>
          <w:color w:val="2E74B5"/>
          <w:sz w:val="24"/>
          <w:szCs w:val="24"/>
        </w:rPr>
        <w:t xml:space="preserve">6.3 其他风险</w:t>
      </w:r>
    </w:p>
    <w:p>
      <w:pPr>
        <w:pStyle w:val="ListParagraph"/>
        <w:numPr>
          <w:ilvl w:val="0"/>
          <w:numId w:val="2"/>
        </w:numPr>
        <w:spacing w:after="80" w:line="280"/>
      </w:pPr>
      <w:r>
        <w:rPr>
          <w:sz w:val="22"/>
          <w:szCs w:val="22"/>
        </w:rPr>
        <w:t xml:space="preserve">原料成本上涨且公司缺乏上游定价权→成本传导滞后会压缩热熔胶等产品毛利。</w:t>
      </w:r>
    </w:p>
    <w:p>
      <w:pPr>
        <w:pStyle w:val="ListParagraph"/>
        <w:numPr>
          <w:ilvl w:val="0"/>
          <w:numId w:val="2"/>
        </w:numPr>
        <w:spacing w:after="80" w:line="280"/>
      </w:pPr>
      <w:r>
        <w:rPr>
          <w:sz w:val="22"/>
          <w:szCs w:val="22"/>
        </w:rPr>
        <w:t xml:space="preserve">部分超期应收款已采取诉讼措施→若回款不及预期，可能增加信用减值并削弱经营现金流。</w:t>
      </w:r>
    </w:p>
    <w:p>
      <w:pPr>
        <w:pStyle w:val="ListParagraph"/>
        <w:numPr>
          <w:ilvl w:val="0"/>
          <w:numId w:val="2"/>
        </w:numPr>
        <w:spacing w:after="80" w:line="280"/>
      </w:pPr>
      <w:r>
        <w:rPr>
          <w:sz w:val="22"/>
          <w:szCs w:val="22"/>
        </w:rPr>
        <w:t xml:space="preserve">光伏胶膜曾受低价竞争及售价压力影响→若退出相关业务后仍有资产处置或减值损失，可能拖累当期利润。</w:t>
      </w:r>
    </w:p>
    <w:p>
      <w:pPr>
        <w:pStyle w:val="Heading1"/>
        <w:pBdr>
          <w:bottom w:val="single" w:color="1F4E79" w:sz="6" w:space="4"/>
        </w:pBdr>
        <w:spacing w:after="160" w:before="360"/>
      </w:pPr>
      <w:r>
        <w:rPr>
          <w:b/>
          <w:bCs/>
          <w:color w:val="1F4E79"/>
          <w:sz w:val="30"/>
          <w:szCs w:val="30"/>
        </w:rPr>
        <w:t xml:space="preserve">七、跟踪清单</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200"/>
        <w:gridCol w:w="2800"/>
        <w:gridCol w:w="28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跟踪指标</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验证看多</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验证看空</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三季报盈利延续</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10月29日预约披露；上半年归母净利0.06亿元</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三季度及前三季度保持盈利，且主营利润贡献改善</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三季度再度亏损或盈利主要依赖非经常性损益</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主营毛利率</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2026年上半年32.13%</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后续报告期维持或高于32.13%</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明显回落且主营利润转弱</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热熔胶库存</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2025年末库存同比增长21.10%</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库存下降且销量增速改善</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库存继续增长、销量仍低增</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应收账款周转天数</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133.4天，高于年末125.8天</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回落至125.8天或以下</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继续高于133.4天并伴随超期款增加</w:t>
            </w:r>
          </w:p>
        </w:tc>
      </w:tr>
    </w:tbl>
    <w:p>
      <w:pPr>
        <w:spacing w:before="200"/>
      </w:pPr>
    </w:p>
    <w:p>
      <w:pPr>
        <w:pStyle w:val="Heading1"/>
        <w:pBdr>
          <w:bottom w:val="single" w:color="1F4E79" w:sz="6" w:space="4"/>
        </w:pBdr>
        <w:spacing w:after="160" w:before="360"/>
      </w:pPr>
      <w:r>
        <w:rPr>
          <w:b/>
          <w:bCs/>
          <w:color w:val="1F4E79"/>
          <w:sz w:val="30"/>
          <w:szCs w:val="30"/>
        </w:rPr>
        <w:t xml:space="preserve">八、股价与短线展望（未来一周，情景推演，仅供参考）</w:t>
      </w:r>
    </w:p>
    <w:p>
      <w:pPr>
        <w:spacing w:after="160"/>
      </w:pPr>
      <w:r>
        <w:rPr>
          <w:b/>
          <w:bCs/>
          <w:color w:val="9C5700"/>
          <w:sz w:val="20"/>
          <w:szCs w:val="20"/>
        </w:rPr>
        <w:t xml:space="preserve">⚠️ 以下为主观情景推演，权重非统计概率，不构成投资建议。</w:t>
      </w:r>
    </w:p>
    <w:p>
      <w:pPr>
        <w:pStyle w:val="Heading2"/>
        <w:spacing w:after="120" w:before="240"/>
      </w:pPr>
      <w:r>
        <w:rPr>
          <w:b/>
          <w:bCs/>
          <w:color w:val="2E74B5"/>
          <w:sz w:val="24"/>
          <w:szCs w:val="24"/>
        </w:rPr>
        <w:t xml:space="preserve">8.1 技术面概况</w:t>
      </w:r>
    </w:p>
    <w:p>
      <w:pPr>
        <w:spacing w:after="160" w:line="300"/>
      </w:pPr>
      <w:r>
        <w:rPr>
          <w:sz w:val="22"/>
          <w:szCs w:val="22"/>
        </w:rPr>
        <w:t xml:space="preserve">短线动能快速增强，但收盘已高于布林上轨且RSI6偏高；放量涨停后波动或加大，10月29日三季报是近端事件节点。</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3000"/>
        <w:gridCol w:w="45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4500"/>
            <w:shd w:fill="1F4E79" w:val="clear"/>
            <w:tcMar>
              <w:top w:type="dxa" w:w="80"/>
              <w:left w:type="dxa" w:w="100"/>
              <w:bottom w:type="dxa" w:w="80"/>
              <w:right w:type="dxa" w:w="100"/>
            </w:tcMar>
            <w:vAlign w:val="center"/>
          </w:tcPr>
          <w:p>
            <w:pPr>
              <w:jc w:val="center"/>
            </w:pPr>
            <w:r>
              <w:rPr>
                <w:b/>
                <w:bCs/>
                <w:color w:val="FFFFFF"/>
                <w:sz w:val="20"/>
                <w:szCs w:val="20"/>
              </w:rPr>
              <w:t xml:space="preserve">解读</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MA5/MA10/MA20/MA60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MA5 9.67 / MA10 9.23 / MA20 9.41 / MA60 9.26</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收盘价显著高于均线簇，短线偏强。</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MACD（DIF/DEA/柱）</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0.043 / DEA -0.129 / 柱 0.345</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柱体较前一日扩大，动能增强。</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RSI6/RSI14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RSI6 80.7 / RSI14 65.6</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短线偏热，追高后波动风险上升。</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布林带上轨/中轨/下轨</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 10.68 / 中轨 9.41 / 下轨 8.13</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收盘价越过上轨，偏离均值较明显。</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最新成交量/近20日均量</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3.47倍</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放量显著，需后续成交延续确认。</w:t>
            </w:r>
          </w:p>
        </w:tc>
      </w:tr>
    </w:tbl>
    <w:p>
      <w:pPr>
        <w:spacing w:before="200"/>
      </w:pPr>
    </w:p>
    <w:p>
      <w:pPr>
        <w:pStyle w:val="Heading2"/>
        <w:spacing w:after="120" w:before="240"/>
      </w:pPr>
      <w:r>
        <w:rPr>
          <w:b/>
          <w:bCs/>
          <w:color w:val="2E74B5"/>
          <w:sz w:val="24"/>
          <w:szCs w:val="24"/>
        </w:rPr>
        <w:t xml:space="preserve">8.2 关键价位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5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11.10~12.93元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对应近20日高点及52周高点，突破后打开向上拓展空间。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9.23~9.67元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对应MA5/10/20/60均线簇，失守则回落风险增加。</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8.13~8.17元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对应布林下轨及近20日低点，跌破后下看52周低点5.51元。</w:t>
            </w:r>
          </w:p>
        </w:tc>
      </w:tr>
    </w:tbl>
    <w:p>
      <w:pPr>
        <w:spacing w:before="200"/>
      </w:pPr>
    </w:p>
    <w:p>
      <w:pPr>
        <w:pStyle w:val="Heading2"/>
        <w:spacing w:after="120" w:before="240"/>
      </w:pPr>
      <w:r>
        <w:rPr>
          <w:b/>
          <w:bCs/>
          <w:color w:val="2E74B5"/>
          <w:sz w:val="24"/>
          <w:szCs w:val="24"/>
        </w:rPr>
        <w:t xml:space="preserve">8.3 按历史波动率测算的一周区间</w:t>
      </w:r>
    </w:p>
    <w:p>
      <w:pPr>
        <w:spacing w:after="160" w:line="300"/>
      </w:pPr>
      <w:r>
        <w:rPr>
          <w:sz w:val="22"/>
          <w:szCs w:val="22"/>
        </w:rPr>
        <w:t xml:space="preserve">以2026-10-22价格11.10元为基准，用近300个交易日的收益分布（按当前指数加权日波动率约5.2%缩放，保留这只股票自身的大涨大跌频率）推算未来5个交易日的收盘价范围：</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700"/>
        <w:gridCol w:w="40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覆盖概率</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价格区间</w:t>
            </w:r>
          </w:p>
        </w:tc>
        <w:tc>
          <w:tcPr>
            <w:tcW w:type="dxa" w:w="4000"/>
            <w:shd w:fill="1F4E79" w:val="clear"/>
            <w:tcMar>
              <w:top w:type="dxa" w:w="80"/>
              <w:left w:type="dxa" w:w="100"/>
              <w:bottom w:type="dxa" w:w="80"/>
              <w:right w:type="dxa" w:w="100"/>
            </w:tcMar>
            <w:vAlign w:val="center"/>
          </w:tcPr>
          <w:p>
            <w:pPr>
              <w:jc w:val="center"/>
            </w:pPr>
            <w:r>
              <w:rPr>
                <w:b/>
                <w:bCs/>
                <w:color w:val="FFFFFF"/>
                <w:sz w:val="20"/>
                <w:szCs w:val="20"/>
              </w:rPr>
              <w:t xml:space="preserve">相对基准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约68%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9.98～12.38元</w:t>
            </w:r>
          </w:p>
        </w:tc>
        <w:tc>
          <w:tcPr>
            <w:tcW w:type="dxa" w:w="4000"/>
            <w:tcMar>
              <w:top w:type="dxa" w:w="80"/>
              <w:left w:type="dxa" w:w="100"/>
              <w:bottom w:type="dxa" w:w="80"/>
              <w:right w:type="dxa" w:w="100"/>
            </w:tcMar>
            <w:vAlign w:val="center"/>
          </w:tcPr>
          <w:p>
            <w:pPr>
              <w:jc w:val="center"/>
            </w:pPr>
            <w:r>
              <w:rPr>
                <w:b w:val="false"/>
                <w:bCs w:val="false"/>
                <w:color w:val="000000"/>
                <w:sz w:val="20"/>
                <w:szCs w:val="20"/>
              </w:rPr>
              <w:t xml:space="preserve">-10.1%～+11.5%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约95%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9.09～14.67元</w:t>
            </w:r>
          </w:p>
        </w:tc>
        <w:tc>
          <w:tcPr>
            <w:tcW w:type="dxa" w:w="4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-18.1%～+32.2%</w:t>
            </w:r>
          </w:p>
        </w:tc>
      </w:tr>
    </w:tbl>
    <w:p>
      <w:pPr>
        <w:spacing w:before="200"/>
      </w:pPr>
    </w:p>
    <w:p>
      <w:pPr>
        <w:spacing w:after="200"/>
      </w:pPr>
      <w:r>
        <w:rPr>
          <w:i/>
          <w:iCs/>
          <w:color w:val="595959"/>
          <w:sz w:val="18"/>
          <w:szCs w:val="18"/>
        </w:rPr>
        <w:t xml:space="preserve">区间内有2026年 三季报预约披露（2026-10-29），已按这只股票历次财报日的实际波动把区间放宽约0%。</w:t>
      </w:r>
    </w:p>
    <w:p>
      <w:pPr>
        <w:spacing w:after="200"/>
      </w:pPr>
      <w:r>
        <w:rPr>
          <w:i/>
          <w:iCs/>
          <w:color w:val="595959"/>
          <w:sz w:val="18"/>
          <w:szCs w:val="18"/>
        </w:rPr>
        <w:t xml:space="preserve">该区间只反映这只股票近期的波动幅度，不含涨跌方向判断；遇到重大公告或大盘急跌，实际走势仍可能超出区间。</w:t>
      </w:r>
    </w:p>
    <w:p>
      <w:pPr>
        <w:pStyle w:val="Heading2"/>
        <w:spacing w:after="120" w:before="240"/>
      </w:pPr>
      <w:r>
        <w:rPr>
          <w:b/>
          <w:bCs/>
          <w:color w:val="2E74B5"/>
          <w:sz w:val="24"/>
          <w:szCs w:val="24"/>
        </w:rPr>
        <w:t xml:space="preserve">8.4 未来一周情景（主观权重，非统计概率）</w:t>
      </w:r>
    </w:p>
    <w:p>
      <w:pPr>
        <w:pStyle w:val="ListParagraph"/>
        <w:numPr>
          <w:ilvl w:val="0"/>
          <w:numId w:val="2"/>
        </w:numPr>
        <w:spacing w:after="80" w:line="280"/>
      </w:pPr>
      <w:r>
        <w:rPr>
          <w:b/>
          <w:bCs/>
          <w:sz w:val="22"/>
          <w:szCs w:val="22"/>
        </w:rPr>
        <w:t xml:space="preserve">震荡整理（相对权重较高，约四成）</w:t>
      </w:r>
      <w:r>
        <w:rPr>
          <w:sz w:val="22"/>
          <w:szCs w:val="22"/>
        </w:rPr>
        <w:t xml:space="preserve">：9.40~11.10元；守住均线簇但未有效突破11.10元，可能高位整理。按历史波动率测算，一周后收盘落在该区间的概率约45%。</w:t>
      </w:r>
    </w:p>
    <w:p>
      <w:pPr>
        <w:pStyle w:val="ListParagraph"/>
        <w:numPr>
          <w:ilvl w:val="0"/>
          <w:numId w:val="2"/>
        </w:numPr>
        <w:spacing w:after="80" w:line="280"/>
      </w:pPr>
      <w:r>
        <w:rPr>
          <w:b/>
          <w:bCs/>
          <w:sz w:val="22"/>
          <w:szCs w:val="22"/>
        </w:rPr>
        <w:t xml:space="preserve">偏弱回落（权重中等，约三成）</w:t>
      </w:r>
      <w:r>
        <w:rPr>
          <w:sz w:val="22"/>
          <w:szCs w:val="22"/>
        </w:rPr>
        <w:t xml:space="preserve">：8.13~9.40元；若放量跌破9.23~9.67元均线簇，关注布林下轨支撑。按历史波动率测算，一周后收盘落在该区间的概率约5%。</w:t>
      </w:r>
    </w:p>
    <w:p>
      <w:pPr>
        <w:pStyle w:val="ListParagraph"/>
        <w:numPr>
          <w:ilvl w:val="0"/>
          <w:numId w:val="2"/>
        </w:numPr>
        <w:spacing w:after="80" w:line="280"/>
      </w:pPr>
      <w:r>
        <w:rPr>
          <w:b/>
          <w:bCs/>
          <w:sz w:val="22"/>
          <w:szCs w:val="22"/>
        </w:rPr>
        <w:t xml:space="preserve">反弹走强（权重中等，约三成）</w:t>
      </w:r>
      <w:r>
        <w:rPr>
          <w:sz w:val="22"/>
          <w:szCs w:val="22"/>
        </w:rPr>
        <w:t xml:space="preserve">：11.10~12.93元；若放量站稳11.10元，且三季报信息未引发抛压，关注前高区间。按历史波动率测算，一周后收盘落在该区间的概率约40%。</w:t>
      </w:r>
    </w:p>
    <w:p>
      <w:pPr>
        <w:spacing w:after="200"/>
      </w:pPr>
      <w:r>
        <w:rPr>
          <w:i/>
          <w:iCs/>
          <w:color w:val="595959"/>
          <w:sz w:val="18"/>
          <w:szCs w:val="18"/>
        </w:rPr>
        <w:t xml:space="preserve">括号内是主观权重；句末的概率由上面的波动率区间反推，只反映波动幅度、不含方向判断。</w:t>
      </w:r>
    </w:p>
    <w:p>
      <w:pPr>
        <w:pStyle w:val="Heading2"/>
        <w:spacing w:after="120" w:before="240"/>
      </w:pPr>
      <w:r>
        <w:rPr>
          <w:b/>
          <w:bCs/>
          <w:color w:val="2E74B5"/>
          <w:sz w:val="24"/>
          <w:szCs w:val="24"/>
        </w:rPr>
        <w:t xml:space="preserve">8.5 资金与流动性</w:t>
      </w:r>
    </w:p>
    <w:p>
      <w:pPr>
        <w:spacing w:after="160" w:line="300"/>
      </w:pPr>
      <w:r>
        <w:rPr>
          <w:sz w:val="22"/>
          <w:szCs w:val="22"/>
        </w:rPr>
        <w:t xml:space="preserve">近10个交易日日成交额约1.44亿~14.09亿元、换手率约4.03%~33.08%，波动较大。2026-06-30前十大流通股东合计持股41.84%，以个人及企业账户为主，未见公募、社保或QFII；数据有披露滞后，结构或已变化。高换手利于成交，但异动时滑点和盘中波动风险上升。</w:t>
      </w:r>
    </w:p>
    <w:p>
      <w:pPr>
        <w:spacing w:after="160" w:line="300"/>
      </w:pPr>
      <w:r>
        <w:rPr>
          <w:sz w:val="22"/>
          <w:szCs w:val="22"/>
        </w:rPr>
        <w:t xml:space="preserve">若单日成交额达10亿元以上且收盘站稳11.10元，可作为放量突破的确认信号。</w:t>
      </w:r>
    </w:p>
    <w:p>
      <w:pPr>
        <w:spacing w:after="200"/>
      </w:pPr>
      <w:r>
        <w:rPr>
          <w:i/>
          <w:iCs/>
          <w:color w:val="595959"/>
          <w:sz w:val="18"/>
          <w:szCs w:val="18"/>
        </w:rPr>
        <w:t xml:space="preserve">以上情景推演基于2026-10-22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天洋新材（上海）科技股份有限公司2025年年度报告 — https://static.cninfo.com.cn/finalpage/2026-04-23/1225148563.PDF</w:t>
      </w:r>
    </w:p>
    <w:p>
      <w:pPr>
        <w:spacing w:after="200"/>
      </w:pPr>
      <w:r>
        <w:rPr>
          <w:i/>
          <w:iCs/>
          <w:color w:val="595959"/>
          <w:sz w:val="18"/>
          <w:szCs w:val="18"/>
        </w:rPr>
        <w:t xml:space="preserve">天洋新材(603330)_公司公告_天洋新材：2025年年度报告新浪财经_新浪网 — https://money.finance.sina.com.cn/corp/view/vCB_AllBulletinDetail.php?id=12143945&amp;stockid=603330</w:t>
      </w:r>
    </w:p>
    <w:p>
      <w:pPr>
        <w:spacing w:after="200"/>
      </w:pPr>
      <w:r>
        <w:rPr>
          <w:i/>
          <w:iCs/>
          <w:color w:val="595959"/>
          <w:sz w:val="18"/>
          <w:szCs w:val="18"/>
        </w:rPr>
        <w:t xml:space="preserve">天洋新材(603330)_公司公告_上海天洋：2021年年度报告新浪财经_新浪网 — https://money.finance.sina.com.cn/corp/view/vCB_AllBulletinDetail.php?id=7883800&amp;stockid=603330</w:t>
      </w:r>
    </w:p>
    <w:p>
      <w:pPr>
        <w:spacing w:after="200"/>
      </w:pPr>
      <w:r>
        <w:rPr>
          <w:i/>
          <w:iCs/>
          <w:color w:val="595959"/>
          <w:sz w:val="18"/>
          <w:szCs w:val="18"/>
        </w:rPr>
        <w:t xml:space="preserve">回天新材(300041)_公司公告_回天新材：2025年年度报告新浪财经_新浪网 — https://money.finance.sina.com.cn/corp/view/vCB_AllBulletinDetail.php?id=12134666&amp;stockid=300041</w:t>
      </w:r>
    </w:p>
    <w:p>
      <w:pPr>
        <w:spacing w:after="200"/>
      </w:pPr>
      <w:r>
        <w:rPr>
          <w:i/>
          <w:iCs/>
          <w:color w:val="595959"/>
          <w:sz w:val="18"/>
          <w:szCs w:val="18"/>
        </w:rPr>
        <w:t xml:space="preserve">2026年半年度报告 — https://static.cninfo.com.cn/finalpage/2026-08-26/1225502569.PDF</w:t>
      </w:r>
    </w:p>
    <w:p>
      <w:pPr>
        <w:spacing w:after="200"/>
      </w:pPr>
      <w:r>
        <w:rPr>
          <w:i/>
          <w:iCs/>
          <w:color w:val="595959"/>
          <w:sz w:val="18"/>
          <w:szCs w:val="18"/>
        </w:rPr>
        <w:t xml:space="preserve">2024年年度报告 — https://static.cninfo.com.cn/finalpage/2025-04-26/1223319748.PDF</w:t>
      </w:r>
    </w:p>
    <w:p>
      <w:pPr>
        <w:spacing w:after="200"/>
      </w:pPr>
      <w:r>
        <w:rPr>
          <w:i/>
          <w:iCs/>
          <w:color w:val="595959"/>
          <w:sz w:val="18"/>
          <w:szCs w:val="18"/>
        </w:rPr>
        <w:t xml:space="preserve">2023年年度报告 — https://static.cninfo.com.cn/finalpage/2024-04-30/1219917723.PDF</w:t>
      </w:r>
    </w:p>
    <w:p>
      <w:pPr>
        <w:spacing w:after="200"/>
      </w:pPr>
      <w:r>
        <w:rPr>
          <w:i/>
          <w:iCs/>
          <w:color w:val="595959"/>
          <w:sz w:val="18"/>
          <w:szCs w:val="18"/>
        </w:rPr>
        <w:t xml:space="preserve">腾讯财经行情（2026-10-22） — https://gu.qq.com/sh603330</w:t>
      </w:r>
    </w:p>
    <w:p>
      <w:pPr>
        <w:spacing w:after="200"/>
      </w:pPr>
      <w:r>
        <w:rPr>
          <w:i/>
          <w:iCs/>
          <w:color w:val="595959"/>
          <w:sz w:val="18"/>
          <w:szCs w:val="18"/>
        </w:rPr>
        <w:t xml:space="preserve">东方财富F10 合并资产负债表（2026中报） — https://emweb.securities.eastmoney.com/pc_hsf10/pages/index.html?type=web&amp;code=SH603330#/cwfx</w:t>
      </w:r>
    </w:p>
    <w:p>
      <w:pPr>
        <w:spacing w:after="200"/>
      </w:pPr>
      <w:r>
        <w:rPr>
          <w:i/>
          <w:iCs/>
          <w:color w:val="595959"/>
          <w:sz w:val="18"/>
          <w:szCs w:val="18"/>
        </w:rPr>
        <w:t xml:space="preserve">东方财富 F10 盈利预测 — https://emweb.securities.eastmoney.com/pc_hsf10/pages/index.html?type=web&amp;code=SH603330#/ylyc</w:t>
      </w:r>
    </w:p>
    <w:p>
      <w:pPr>
        <w:spacing w:after="200"/>
      </w:pPr>
      <w:r>
        <w:rPr>
          <w:i/>
          <w:iCs/>
          <w:color w:val="595959"/>
          <w:sz w:val="18"/>
          <w:szCs w:val="18"/>
        </w:rPr>
        <w:t xml:space="preserve">天洋新材:2026年半年度报告 — https://pdf.dfcfw.com/pdf/H2_AN202608251828410945_1.pdf</w:t>
      </w:r>
    </w:p>
    <w:p>
      <w:pPr>
        <w:spacing w:after="200"/>
      </w:pPr>
      <w:r>
        <w:rPr>
          <w:i/>
          <w:iCs/>
          <w:color w:val="595959"/>
          <w:sz w:val="18"/>
          <w:szCs w:val="18"/>
        </w:rPr>
        <w:t xml:space="preserve">天洋新材（上海）科技股份有限公司董事、高管减持股份结果公告 — https://paper.cnstock.com/html/2026-10/09/content_2275475.htm</w:t>
      </w:r>
    </w:p>
    <w:p>
      <w:pPr>
        <w:spacing w:after="200"/>
      </w:pPr>
      <w:r>
        <w:rPr>
          <w:i/>
          <w:iCs/>
          <w:color w:val="595959"/>
          <w:sz w:val="18"/>
          <w:szCs w:val="18"/>
        </w:rPr>
        <w:t xml:space="preserve">天洋新材(603330):归还用于临时补充流动资金的募集资金 — https://vipwt1.cfi.net.cn/p20261022001189.html</w:t>
      </w:r>
    </w:p>
    <w:p>
      <w:pPr>
        <w:spacing w:after="200"/>
      </w:pPr>
      <w:r>
        <w:rPr>
          <w:i/>
          <w:iCs/>
          <w:color w:val="595959"/>
          <w:sz w:val="18"/>
          <w:szCs w:val="18"/>
        </w:rPr>
        <w:t xml:space="preserve">天洋新材: 关于归还用于临时补充流动资金的募集资金的公告 — https://stock.stockstar.com/notice/SN2026102200035779.shtml</w:t>
      </w:r>
    </w:p>
    <w:p>
      <w:pPr>
        <w:spacing w:after="200"/>
      </w:pPr>
      <w:r>
        <w:rPr>
          <w:i/>
          <w:iCs/>
          <w:color w:val="595959"/>
          <w:sz w:val="18"/>
          <w:szCs w:val="18"/>
        </w:rPr>
        <w:t xml:space="preserve">天洋新材：公司生产经营正常-证券之星 — https://wap.stockstar.com/detail/KX2026102200029468</w:t>
      </w:r>
    </w:p>
    <w:p>
      <w:pPr>
        <w:spacing w:after="200"/>
      </w:pPr>
      <w:r>
        <w:rPr>
          <w:i/>
          <w:iCs/>
          <w:color w:val="595959"/>
          <w:sz w:val="18"/>
          <w:szCs w:val="18"/>
        </w:rPr>
        <w:t xml:space="preserve">天洋新材：公司生产经营正常 — https://stock.10jqka.com.cn/20261022/c680984921.shtml</w:t>
      </w:r>
    </w:p>
    <w:p>
      <w:pPr>
        <w:spacing w:after="200"/>
      </w:pPr>
      <w:r>
        <w:rPr>
          <w:i/>
          <w:iCs/>
          <w:color w:val="595959"/>
          <w:sz w:val="18"/>
          <w:szCs w:val="18"/>
        </w:rPr>
        <w:t xml:space="preserve">天洋新材完成5500万元闲置募补流资金全额归还 资金使用效率提升成效显现 — https://finance.sina.cn/2026-10-22/detail-iniwcafk8144028.d.html?vt=4&amp;wm=1756</w:t>
      </w:r>
    </w:p>
    <w:p>
      <w:pPr>
        <w:spacing w:after="200"/>
      </w:pPr>
      <w:r>
        <w:rPr>
          <w:i/>
          <w:iCs/>
          <w:color w:val="595959"/>
          <w:sz w:val="18"/>
          <w:szCs w:val="18"/>
        </w:rPr>
        <w:t xml:space="preserve">天洋新材：未发现需澄清或回应的媒体报道或市场传闻，亦未涉及市场热点概念 — https://www.sohu.com/a/1091329112_122014422?scm=10001.7746_13-119000.0.0-0-0-0-0.0&amp;spm=smpc.channel_354.block3_32_P7Ovbu_1_fd.50.1792674095479FhGbbxC_7746</w:t>
      </w:r>
    </w:p>
    <w:p>
      <w:pPr>
        <w:spacing w:after="200"/>
      </w:pPr>
      <w:r>
        <w:rPr>
          <w:i/>
          <w:iCs/>
          <w:color w:val="595959"/>
          <w:sz w:val="18"/>
          <w:szCs w:val="18"/>
        </w:rPr>
        <w:t xml:space="preserve">异常波动天洋新材(603330):股票交易异常波动公告 — https://vipwt1.cfi.net.cn/p20261022001188.html</w:t>
      </w:r>
    </w:p>
    <w:p>
      <w:pPr>
        <w:spacing w:after="200"/>
      </w:pPr>
      <w:r>
        <w:rPr>
          <w:i/>
          <w:iCs/>
          <w:color w:val="595959"/>
          <w:sz w:val="18"/>
          <w:szCs w:val="18"/>
        </w:rPr>
        <w:t xml:space="preserve">东方财富 个股资金流向 — https://data.eastmoney.com/zjlx/603330.html</w:t>
      </w:r>
    </w:p>
    <w:p>
      <w:pPr>
        <w:spacing w:after="200"/>
      </w:pPr>
      <w:r>
        <w:rPr>
          <w:i/>
          <w:iCs/>
          <w:color w:val="595959"/>
          <w:sz w:val="18"/>
          <w:szCs w:val="18"/>
        </w:rPr>
        <w:t xml:space="preserve">东方财富 股东研究 — https://emweb.securities.eastmoney.com/pc_hsf10/pages/index.html?type=web&amp;code=SH603330#/gdyj</w:t>
      </w:r>
    </w:p>
    <w:p>
      <w:pPr>
        <w:spacing w:after="200"/>
      </w:pPr>
      <w:r>
        <w:rPr>
          <w:i/>
          <w:iCs/>
          <w:color w:val="595959"/>
          <w:sz w:val="18"/>
          <w:szCs w:val="18"/>
        </w:rPr>
        <w:t xml:space="preserve">本报告由AI基于公开渠道信息自动检索、整理并生成，信息截至 2026-10-22收盘，可能存在时效性差异，具体数据请以公司正式公告及权威数据终端为准。本报告仅为信息整理与研究参考，不构成任何投资建议，投资者应独立判断并自行承担投资风险。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2026-10-22T18:15:33.579Z</dcterms:created>
  <dcterms:modified xsi:type="dcterms:W3CDTF">2026-10-22T18:15:33.579Z</dcterms:modified>
</cp:coreProperties>
</file>

<file path=docProps/custom.xml><?xml version="1.0" encoding="utf-8"?>
<Properties xmlns="http://schemas.openxmlformats.org/officeDocument/2006/custom-properties" xmlns:vt="http://schemas.openxmlformats.org/officeDocument/2006/docPropsVTypes"/>
</file>