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科沃斯机器人股份有限公司 (603486)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行业：家用服务机器人与智能清洁电器</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截至2026年9月11日收盘；技术指标主要截至2026年9月10日收盘，股东及机构持仓数据截至2026年6月30日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科沃斯2026年上半年实现营业收入103.41亿元，同比增长19.18%；归母净利润12.48亿元，同比增长27.40%，但扣非归母净利润为8.05亿元，同比下降6.37%，经营活动现金流净额仅约2.06亿元，同比下降85.82%。因此，公司表观利润仍保持增长，但主营业务盈利质量和现金转化能力出现压力，是当前最具决策意义的观察点。</w:t>
      </w:r>
    </w:p>
    <w:p>
      <w:pPr>
        <w:spacing w:after="160" w:line="300"/>
      </w:pPr>
      <w:r>
        <w:rPr>
          <w:sz w:val="22"/>
          <w:szCs w:val="22"/>
        </w:rPr>
        <w:t xml:space="preserve">公司增长主要由科沃斯品牌服务机器人带动：2026年上半年科沃斯品牌收入约60.94亿元，同比增长26.82%，高于添可品牌智能生活电器约40.51亿元、同比增长10.66%的表现。2025年公司服务机器人收入105.35亿元、添可品牌收入81.17亿元，两大自有品牌收入占总收入97.97%；海外业务收入占比已提升至45.9%，产品矩阵正由扫地机器人、洗地机向擦窗、割草、泳池及商用清洁等场景拓展。</w:t>
      </w:r>
    </w:p>
    <w:p>
      <w:pPr>
        <w:spacing w:after="160" w:line="300"/>
      </w:pPr>
      <w:r>
        <w:rPr>
          <w:sz w:val="22"/>
          <w:szCs w:val="22"/>
        </w:rPr>
        <w:t xml:space="preserve">盈利能力较2023—2024年明显修复，2025年毛利率升至48.82%，归母净利率约9.23%，全年归母净利润17.58亿元，同比增长118.13%。不过，2026年上半年非经常性损益约4.42亿元，二季度扣非归母净利润约4.1亿元、同比下降18.9%，且汇兑损失增加导致财务费用由上年同期负16.38亿元转为1.12亿元，利润增长的持续性仍需通过后续扣非业绩验证。</w:t>
      </w:r>
    </w:p>
    <w:p>
      <w:pPr>
        <w:spacing w:after="160" w:line="300"/>
      </w:pPr>
      <w:r>
        <w:rPr>
          <w:sz w:val="22"/>
          <w:szCs w:val="22"/>
        </w:rPr>
        <w:t xml:space="preserve">截至2026年9月11日，股价为51.46元，较8月20日的61.50元阶段性回撤约18.9%，虽因RSI6进入超卖区间而出现反弹，但仍低于MA20及布林带中轨54.87元，MACD处于零轴下方，最近10个交易日主力资金合计净流出约4472万元。技术面显示短线存在修复条件，但中期趋势尚未完成反转确认。</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603486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科沃斯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1998年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钱东奇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家用服务机器人、智能生活电器及相关核心零部件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经营数据基准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主要采用公司2025年年度报告，数据截至2025年12月31日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生产及产能数据基准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主要采用中诚信国际2026年度跟踪评级报告，部分数据截至2026年3月31日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科沃斯品牌服务机器人：包括DEEBOT系列扫地机器人、WINBOT系列擦窗机器人、GOAT系列割草机器人、泳池机器人、智能陪伴机器人、家庭具身服务机器人及商用清洁机器人等。</w:t>
      </w:r>
    </w:p>
    <w:p>
      <w:pPr>
        <w:pStyle w:val="ListParagraph"/>
        <w:numPr>
          <w:ilvl w:val="0"/>
          <w:numId w:val="2"/>
        </w:numPr>
        <w:spacing w:after="80" w:line="280"/>
      </w:pPr>
      <w:r>
        <w:rPr>
          <w:sz w:val="22"/>
          <w:szCs w:val="22"/>
        </w:rPr>
        <w:t xml:space="preserve">添可品牌智能生活电器：以芙万系列洗地机为主，并围绕家庭清洁、健康和生活方式拓展品类。2025年全球洗地机出货量451万台，同比增长8.9%。</w:t>
      </w:r>
    </w:p>
    <w:p>
      <w:pPr>
        <w:pStyle w:val="ListParagraph"/>
        <w:numPr>
          <w:ilvl w:val="0"/>
          <w:numId w:val="2"/>
        </w:numPr>
        <w:spacing w:after="80" w:line="280"/>
      </w:pPr>
      <w:r>
        <w:rPr>
          <w:sz w:val="22"/>
          <w:szCs w:val="22"/>
        </w:rPr>
        <w:t xml:space="preserve">清洁类电器OEM/ODM：为国际清洁电器品牌提供代工服务，但随着自有品牌发展，代工业务在整体收入中的重要性下降。</w:t>
      </w:r>
    </w:p>
    <w:p>
      <w:pPr>
        <w:pStyle w:val="ListParagraph"/>
        <w:numPr>
          <w:ilvl w:val="0"/>
          <w:numId w:val="2"/>
        </w:numPr>
        <w:spacing w:after="80" w:line="280"/>
      </w:pPr>
      <w:r>
        <w:rPr>
          <w:sz w:val="22"/>
          <w:szCs w:val="22"/>
        </w:rPr>
        <w:t xml:space="preserve">机器人智能零组件：布局电机、电子、电池和传动系统等核心零部件，包括凯航电机、泰鼎新能源及擎鼎智能相关业务。2GWh电池项目截至2025年年末已投入并使用1GWh产线，剩余产能仍处于建设或投产爬坡阶段。</w:t>
      </w:r>
    </w:p>
    <w:p>
      <w:pPr>
        <w:pStyle w:val="ListParagraph"/>
        <w:numPr>
          <w:ilvl w:val="0"/>
          <w:numId w:val="2"/>
        </w:numPr>
        <w:spacing w:after="80" w:line="280"/>
      </w:pPr>
      <w:r>
        <w:rPr>
          <w:sz w:val="22"/>
          <w:szCs w:val="22"/>
        </w:rPr>
        <w:t xml:space="preserve">2025年收入结构：公司总收入190.40亿元，同比增长15.10%；科沃斯品牌服务机器人收入105.35亿元，占55.34%；添可品牌高端智能生活电器收入81.17亿元，占42.63%；其他产品收入约1.41亿元；两大自有品牌收入合计186.52亿元，占97.97%。</w:t>
      </w:r>
    </w:p>
    <w:p>
      <w:pPr>
        <w:pStyle w:val="ListParagraph"/>
        <w:numPr>
          <w:ilvl w:val="0"/>
          <w:numId w:val="2"/>
        </w:numPr>
        <w:spacing w:after="80" w:line="280"/>
      </w:pPr>
      <w:r>
        <w:rPr>
          <w:sz w:val="22"/>
          <w:szCs w:val="22"/>
        </w:rPr>
        <w:t xml:space="preserve">2025年出货及区域结构：科沃斯品牌服务机器人全球出货约440万台，同比增长49.1%；添可品牌洗地机全球出货约451万台，同比增长8.9%；科沃斯和添可品牌海外业务收入占公司总收入45.9%，较2024年提升3.7个百分点。</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科沃斯处于“中游智能硬件制造+下游品牌运营”位置，过去主要依靠扫地机器人和洗地机整机设计、制造、品牌及渠道获取利润，目前向电机、电池、传动和电子零组件等上游延伸。公司主要采取自主生产模式，产品基本实现自产。</w:t>
      </w:r>
    </w:p>
    <w:p>
      <w:pPr>
        <w:pStyle w:val="ListParagraph"/>
        <w:numPr>
          <w:ilvl w:val="0"/>
          <w:numId w:val="2"/>
        </w:numPr>
        <w:spacing w:after="80" w:line="280"/>
      </w:pPr>
      <w:r>
        <w:rPr>
          <w:sz w:val="22"/>
          <w:szCs w:val="22"/>
        </w:rPr>
        <w:t xml:space="preserve">主要采购及投入品包括无刷电机、风机、轮毂电机及驱动组件，传感器、控制器、微控制器及相关电子元件，锂电池、电芯、模组和BMS，塑胶结构件、滚刷、风道、滤网、水箱、包装材料，以及传动系统、减速机构和精密机械部件。</w:t>
      </w:r>
    </w:p>
    <w:p>
      <w:pPr>
        <w:pStyle w:val="ListParagraph"/>
        <w:numPr>
          <w:ilvl w:val="0"/>
          <w:numId w:val="2"/>
        </w:numPr>
        <w:spacing w:after="80" w:line="280"/>
      </w:pPr>
      <w:r>
        <w:rPr>
          <w:sz w:val="22"/>
          <w:szCs w:val="22"/>
        </w:rPr>
        <w:t xml:space="preserve">2025年直接材料成本为75.36亿元，占营业成本77.34%；2024年直接材料占营业成本77.83%。年报未拆分电机、芯片、传感器、塑胶、电池和传动系统的具体采购金额占比，不能据此编制精确BOM成本比例。</w:t>
      </w:r>
    </w:p>
    <w:p>
      <w:pPr>
        <w:pStyle w:val="ListParagraph"/>
        <w:numPr>
          <w:ilvl w:val="0"/>
          <w:numId w:val="2"/>
        </w:numPr>
        <w:spacing w:after="80" w:line="280"/>
      </w:pPr>
      <w:r>
        <w:rPr>
          <w:sz w:val="22"/>
          <w:szCs w:val="22"/>
        </w:rPr>
        <w:t xml:space="preserve">公司通过子公司布局电机、电池和传动系统，电机业务覆盖无刷电机、风机、轮毂电机及驱动组件；电池项目覆盖电芯、模组和BMS；传动系统项目覆盖行星减速和平行轴传动。</w:t>
      </w:r>
    </w:p>
    <w:p>
      <w:pPr>
        <w:pStyle w:val="ListParagraph"/>
        <w:numPr>
          <w:ilvl w:val="0"/>
          <w:numId w:val="2"/>
        </w:numPr>
        <w:spacing w:after="80" w:line="280"/>
      </w:pPr>
      <w:r>
        <w:rPr>
          <w:sz w:val="22"/>
          <w:szCs w:val="22"/>
        </w:rPr>
        <w:t xml:space="preserve">供应商集中度：2024年前五名供应商采购额21.63亿元，占年度采购总额14.57%，不存在单一供应商采购比例超过50%的情况。该数据为2024年年报披露，未找到2025年同口径数据，不能直接外推至2025年。</w:t>
      </w:r>
    </w:p>
    <w:p>
      <w:pPr>
        <w:pStyle w:val="ListParagraph"/>
        <w:numPr>
          <w:ilvl w:val="0"/>
          <w:numId w:val="2"/>
        </w:numPr>
        <w:spacing w:after="80" w:line="280"/>
      </w:pPr>
      <w:r>
        <w:rPr>
          <w:sz w:val="22"/>
          <w:szCs w:val="22"/>
        </w:rPr>
        <w:t xml:space="preserve">公司对部分核心零部件的议价能力和交付控制能力有望随自产能力提升，但电芯、芯片、传感器、电子元器件、锂电材料、塑胶和金属材料仍受外部供应及价格波动影响，整体并非完全掌握上游定价权。</w:t>
      </w:r>
    </w:p>
    <w:p>
      <w:pPr>
        <w:pStyle w:val="ListParagraph"/>
        <w:numPr>
          <w:ilvl w:val="0"/>
          <w:numId w:val="2"/>
        </w:numPr>
        <w:spacing w:after="80" w:line="280"/>
      </w:pPr>
      <w:r>
        <w:rPr>
          <w:sz w:val="22"/>
          <w:szCs w:val="22"/>
        </w:rPr>
        <w:t xml:space="preserve">下游包括家庭消费者、线上平台、线下零售渠道、海外经销商及部分商用客户；渠道覆盖天猫、京东、抖音、家电连锁、购物中心、高端百货、家居卖场、海外电商及当地零售商和经销商。</w:t>
      </w:r>
    </w:p>
    <w:p>
      <w:pPr>
        <w:pStyle w:val="ListParagraph"/>
        <w:numPr>
          <w:ilvl w:val="0"/>
          <w:numId w:val="2"/>
        </w:numPr>
        <w:spacing w:after="80" w:line="280"/>
      </w:pPr>
      <w:r>
        <w:rPr>
          <w:sz w:val="22"/>
          <w:szCs w:val="22"/>
        </w:rPr>
        <w:t xml:space="preserve">2025年线上收入129.14亿元，毛利率51.84%；线下收入61.26亿元，毛利率42.47%。线上毛利率较高，但面临平台服务费、流量投放和促销费用压力；线下渠道涉及门店、经销、仓储及终端运营成本。</w:t>
      </w:r>
    </w:p>
    <w:p>
      <w:pPr>
        <w:pStyle w:val="ListParagraph"/>
        <w:numPr>
          <w:ilvl w:val="0"/>
          <w:numId w:val="2"/>
        </w:numPr>
        <w:spacing w:after="80" w:line="280"/>
      </w:pPr>
      <w:r>
        <w:rPr>
          <w:sz w:val="22"/>
          <w:szCs w:val="22"/>
        </w:rPr>
        <w:t xml:space="preserve">客户集中度：2024年前五名客户销售额36.77亿元，占年度销售总额22.23%，不存在单一客户销售占比超过50%的情况。该数据为2024年年报披露，本次未找到2025年完全同口径数据，不能直接外推至2025年；数据来源未在纪要中交叉提供，具体以最新年报为准。</w:t>
      </w:r>
    </w:p>
    <w:p>
      <w:pPr>
        <w:pStyle w:val="ListParagraph"/>
        <w:numPr>
          <w:ilvl w:val="0"/>
          <w:numId w:val="2"/>
        </w:numPr>
        <w:spacing w:after="80" w:line="280"/>
      </w:pPr>
      <w:r>
        <w:rPr>
          <w:sz w:val="22"/>
          <w:szCs w:val="22"/>
        </w:rPr>
        <w:t xml:space="preserve">公司不主要面对汽车零部件行业常见的整车厂年度降价条款，而是面临电商平台流量和营销费用、线下渠道进场及促销费用、行业价格战、消费者价格与售后敏感度，以及海外渠道费用、关税、汇率和售后成本压力。</w:t>
      </w:r>
    </w:p>
    <w:p>
      <w:pPr>
        <w:pStyle w:val="ListParagraph"/>
        <w:numPr>
          <w:ilvl w:val="0"/>
          <w:numId w:val="2"/>
        </w:numPr>
        <w:spacing w:after="80" w:line="280"/>
      </w:pPr>
      <w:r>
        <w:rPr>
          <w:sz w:val="22"/>
          <w:szCs w:val="22"/>
        </w:rPr>
        <w:t xml:space="preserve">公司具有品牌、技术和渠道优势，具备一定产品定价权，但定价权并非绝对，尤其在中低价格段和洗地机市场仍面临较强竞争。</w:t>
      </w:r>
    </w:p>
    <w:p>
      <w:pPr>
        <w:pStyle w:val="ListParagraph"/>
        <w:numPr>
          <w:ilvl w:val="0"/>
          <w:numId w:val="2"/>
        </w:numPr>
        <w:spacing w:after="80" w:line="280"/>
      </w:pPr>
      <w:r>
        <w:rPr>
          <w:sz w:val="22"/>
          <w:szCs w:val="22"/>
        </w:rPr>
        <w:t xml:space="preserve">截至2025年12月31日，公司应收账款24.56亿元，对应营业收入190.40亿元，占营业收入约12.9%；纪要称较2024年末应收账款明显下降，显示回款和经营性应收管理有所改善。另有资料披露2024年末应收账款为29.24亿元、占2024年营业收入约17.7%，中诚信国际披露2024年应收账款周转率为7.19次，低于2023年的8.55次；纪要同时出现2024年末应收账款42.83亿元的表述，数据存在口径或记录差异，应以公司最新年报为准。服务机器人库存同比增长78.76%，高于销量增速，表明新品及海外扩张阶段库存占用和消化压力上升。</w:t>
      </w:r>
    </w:p>
    <w:p>
      <w:pPr>
        <w:pStyle w:val="ListParagraph"/>
        <w:numPr>
          <w:ilvl w:val="0"/>
          <w:numId w:val="2"/>
        </w:numPr>
        <w:spacing w:after="80" w:line="280"/>
      </w:pPr>
      <w:r>
        <w:rPr>
          <w:sz w:val="22"/>
          <w:szCs w:val="22"/>
        </w:rPr>
        <w:t xml:space="preserve">2024年前五大供应商采购额占比14.57%，前五大客户销售额占比22.23%，均为2024年数据且未找到2025年完全同口径披露；公司不存在单一供应商采购比例或单一客户销售占比超过50%的情况，但不能据此推断2025年集中度未发生变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51.61%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约11.10%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服务机器人和添可洗地机产品结构较好，洗地机仍处于高增长、高毛利阶段；但销售费用和渠道投入已较高。净利率为根据净利润与营业收入计算值。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44.58%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行业竞争加剧、部分产品销售均价下降，新品导入带来材料成本和营销投入压力，毛利率和净利率明显下滑。净利率为计算值。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46.52%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科沃斯品牌新品占比提升，采购和制造端降本、产品结构改善，毛利率较2023年回升1.94个百分点；销售费用仍较高，净利率恢复幅度低于毛利率。净利率为计算值。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48.82%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约9.23%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服务机器人收入高增长，活水洗地、擦窗机器人、割草机器人等新品类放量，海外业务增长，产品结构和成本控制改善，毛利率较2024年提升2.30个百分点。净利率为根据归母净利润与营业收入计算值。</w:t>
            </w:r>
          </w:p>
        </w:tc>
      </w:tr>
    </w:tbl>
    <w:p>
      <w:pPr>
        <w:spacing w:before="200"/>
      </w:pPr>
    </w:p>
    <w:p>
      <w:pPr>
        <w:spacing w:after="160" w:line="300"/>
      </w:pPr>
      <w:r>
        <w:rPr>
          <w:sz w:val="22"/>
          <w:szCs w:val="22"/>
        </w:rPr>
        <w:t xml:space="preserve">公司位于中游智能硬件制造与下游品牌运营之间，属于具备一定品牌和技术溢价、但仍受上游零部件价格及下游渠道竞争影响的中游偏下游企业。后续利润改善主要取决于服务机器人及新品库存消化、活水洗地和擦窗/割草等新品的高毛利放量、电机电池传动自产带来的单位成本下降，以及海外渠道扩张在扣除营销、售后、关税和汇率影响后继续贡献利润。</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2026年上半年（2026年1—6月）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103.41亿元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12.48亿元（归属于上市公司股东的净利润）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+27.40%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约8.4亿元（归母净利润）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190.40亿元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17.58亿元（归母净利润）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+118.13%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165.42亿元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8.06亿元（归母净利润）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+31.70%</w:t>
            </w:r>
          </w:p>
        </w:tc>
      </w:tr>
    </w:tbl>
    <w:p>
      <w:pPr>
        <w:spacing w:after="200"/>
      </w:pPr>
      <w:r>
        <w:rPr>
          <w:i/>
          <w:iCs/>
          <w:color w:val="595959"/>
          <w:sz w:val="18"/>
          <w:szCs w:val="18"/>
        </w:rPr>
        <w:t xml:space="preserve">最新正式财报为2026年半年度报告，报告于2026年8月21日披露。截至2026年9月13日，财务数据覆盖2026年1—6月。2026年上半年扣除非经常性损益后的归母净利润为8.05亿元，同比下降6.37%；扣非基本每股收益为1.41元，同比下降7.24%。</w:t>
      </w:r>
    </w:p>
    <w:p>
      <w:pPr>
        <w:spacing w:after="160" w:line="300"/>
      </w:pPr>
      <w:r>
        <w:rPr>
          <w:sz w:val="22"/>
          <w:szCs w:val="22"/>
        </w:rPr>
        <w:t xml:space="preserve">2026年上半年收入和归母净利润保持增长，但扣非盈利能力和经营现金流承压。经营活动产生的现金流量净额为2.06亿元，同比下降85.82%，明显低于同期归母净利润；财务费用为1.12亿元，2025年同期为负16.38亿元，主要受到汇兑损失增加影响。2026年第二季度扣非归母净利润约4.1亿元，同比下降18.9%，表明表观利润增长与非经常性损益、投资收益或公允价值变动等因素存在较大关系。2025年利润增速显著高于收入增速，纪要归因于产品结构优化、毛利率改善、费用率下降及海外业务增长。2026年上半年服务机器人收入约61.98亿元，智能生活电器收入约40.66亿元；科沃斯品牌收入约60.94亿元，同比+26.82%，添可品牌收入约40.51亿元，同比+10.66%。</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页面显示，截至2026年8月17日，近6个月内共有24家机构对科沃斯2026年度业绩进行预测。以上为机构研报摘录形成的市场预测，不是公司指引，也不是审计数据。不同时间抓取结果曾出现24家机构、2026年净利润21.06亿元和26家机构、2026年净利润21.48亿元等差异，本纪要采用截至2026年8月17日的24家机构汇总数据。代表性机构预测显示：华泰证券预计2026—2028年归母净利润为20.84亿元、24.01亿元、28.86亿元；华创证券、国泰海通证券、国投证券和中泰证券分别披露了相应年度EPS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平均约222.28亿元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平均约21.06亿元；预测区间19.28—26.01亿元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约19.8%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平均约3.63元；预测区间3.33—4.49元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平均约256.75亿元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平均约25.03亿元；预测区间21.83—31.68亿元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平均约4.32元；预测区间3.77—5.47元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平均约293.44亿元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平均约29.58亿元；预测区间24.37—39.16亿元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约18.2%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平均约5.11元；预测区间4.21—6.76元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目标价90元；2026—2028年归母净利润预测为20.84亿元、24.01亿元、28.86亿元，EPS为3.60元、4.15元、4.99元；估值依据为2026年25倍PE。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目标价75元；2026—2028年EPS预测为3.77元、4.36元、4.91元，对应2026年约20倍PE。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6个月目标价75.52元；2026—2028年EPS预测为3.78元、4.49元、5.42元，对应2026年约20倍PE。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目标价78.10元；2026—2028年EPS预测为3.55元、4.30元、5.09元，对应2026年22倍PE。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2026—2028年EPS预测为3.50元、4.04元、4.73元；公开页面未显示目标价。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富途平台汇总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分析师目标价汇总</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平均目标价约80.97元，最高90元，最低75元；具体机构样本和计算口径未完全披露，仅作辅助参考。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同花顺6个月内研报评级汇总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买入12份、增持2份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最新截点未明确</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中性、减持和卖出评级均为0份；评级数量只能作为情绪参考，不能视为正式的多机构一致评级。</w:t>
            </w:r>
          </w:p>
        </w:tc>
      </w:tr>
    </w:tbl>
    <w:p>
      <w:pPr>
        <w:spacing w:before="200"/>
      </w:pPr>
    </w:p>
    <w:p>
      <w:pPr>
        <w:spacing w:after="160" w:line="300"/>
      </w:pPr>
      <w:r>
        <w:rPr>
          <w:sz w:val="22"/>
          <w:szCs w:val="22"/>
        </w:rPr>
        <w:t xml:space="preserve">截至2026年9月11日收盘，科沃斯股价为49.78元；截至2026年9月10日公开行情页面显示股价约49.89元，52周价格区间约为48.40—111.69元。理杏仁页面截至2026年9月9日附近显示，总市值约289—298亿元，市盈率约14.26—14.70倍，市净率约3.03—3.12倍，股息率约1.79%—1.84%。由于不同页面存在刷新时间差，纪要建议采用49.78元作为2026年9月11日收盘价，并将PE约14—15倍、PB约3.1倍作为2026年9月上旬估值参考。以49.78元计算，按照机构一致预测EPS，2026年、2027年和2028年预测PE分别约13.7倍、11.5倍和9.7倍；按部分机构2026年EPS计算，华创证券、国投证券和国泰海通证券对应PE分别约13.2倍、13.2倍和14.0倍。上述前瞻估值低于多数机构目标价所对应的2026年20—25倍PE假设，但目标价依赖于盈利兑现和估值倍数修复，不能直接等同于确定收益。估值修复的关键因素包括海外收入增长能否转化为稳定利润、扣非盈利能否恢复增长、汇率和原材料价格压力能否缓解，以及割草机器人、擦窗机器人和具身智能等新品类能否形成持续贡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2026年半年度报告：营收及归母净利润增长，扣非净利润与经营现金流下降</w:t>
      </w:r>
    </w:p>
    <w:p>
      <w:pPr>
        <w:spacing w:after="160" w:line="300"/>
      </w:pPr>
      <w:r>
        <w:rPr>
          <w:sz w:val="22"/>
          <w:szCs w:val="22"/>
        </w:rPr>
        <w:t xml:space="preserve">科沃斯于2026年8月22日披露《2026年半年度报告》。2026年上半年实现营业收入103.41亿元，同比增长19.18%；归属于上市公司股东的净利润12.48亿元，同比增长27.40%；归属于上市公司股东的扣除非经常性损益的净利润8.05亿元，同比下降6.37%；经营活动产生的现金流量净额约2.06亿元，同比下降85.82%。分品牌看，科沃斯品牌服务机器人收入约60.94亿元，同比增长26.82%；添可品牌智能生活电器收入约40.51亿元，同比增长10.66%。公司表示，收入增长主要来自科沃斯和添可品牌收入增加；经营现金流下降主要与上年同期收回较大金额国补应收款、本期备货增加及购买商品支付现金增加有关。上半年非经常性损益合计约4.42亿元，其中公允价值变动损益及相关项目金额较大，扣非净利润同比下降，主营业务盈利质量仍需观察。</w:t>
      </w:r>
    </w:p>
    <w:p>
      <w:pPr>
        <w:pStyle w:val="Heading2"/>
        <w:spacing w:after="120" w:before="240"/>
      </w:pPr>
      <w:r>
        <w:rPr>
          <w:b/>
          <w:bCs/>
          <w:color w:val="2E74B5"/>
          <w:sz w:val="24"/>
          <w:szCs w:val="24"/>
        </w:rPr>
        <w:t xml:space="preserve">4.2 截至2026年9月13日未检索到2026年前三季度正式业绩预告或业绩快报</w:t>
      </w:r>
    </w:p>
    <w:p>
      <w:pPr>
        <w:spacing w:after="160" w:line="300"/>
      </w:pPr>
      <w:r>
        <w:rPr>
          <w:sz w:val="22"/>
          <w:szCs w:val="22"/>
        </w:rPr>
        <w:t xml:space="preserve">截至2026年9月13日，未检索到科沃斯针对2026年前三季度发布的正式业绩预告、业绩快报或明确利润预测公告。目前可确认的最新正式业绩数据仍为2026年半年度报告。由于2026年三季度尚未结束，暂无三季度业绩预告不构成异常，后续需关注公司是否在2026年10月披露三季度报告或业绩预告。券商研报中的盈利预测、市场预期或“业绩符合预期”等表述不属于上市公司正式业绩预告。</w:t>
      </w:r>
    </w:p>
    <w:p>
      <w:pPr>
        <w:pStyle w:val="Heading2"/>
        <w:spacing w:after="120" w:before="240"/>
      </w:pPr>
      <w:r>
        <w:rPr>
          <w:b/>
          <w:bCs/>
          <w:color w:val="2E74B5"/>
          <w:sz w:val="24"/>
          <w:szCs w:val="24"/>
        </w:rPr>
        <w:t xml:space="preserve">4.3 完成注销76,498份股票期权，对股本无影响</w:t>
      </w:r>
    </w:p>
    <w:p>
      <w:pPr>
        <w:spacing w:after="160" w:line="300"/>
      </w:pPr>
      <w:r>
        <w:rPr>
          <w:sz w:val="22"/>
          <w:szCs w:val="22"/>
        </w:rPr>
        <w:t xml:space="preserve">科沃斯于2026年9月10日披露《关于部分股票期权注销完成的公告》。本次注销涉及13名激励对象，其中因离职不再符合激励条件注销73,298份，因首次授予激励对象未达到第二个行权期绩效考核要求注销3,200份，合计注销76,498份股票期权。相关注销业务已于2026年9月9日在中国证券登记结算有限责任公司上海分公司办理完成。本次股票期权注销不涉及公司股本变动。</w:t>
      </w:r>
    </w:p>
    <w:p>
      <w:pPr>
        <w:pStyle w:val="Heading2"/>
        <w:spacing w:after="120" w:before="240"/>
      </w:pPr>
      <w:r>
        <w:rPr>
          <w:b/>
          <w:bCs/>
          <w:color w:val="2E74B5"/>
          <w:sz w:val="24"/>
          <w:szCs w:val="24"/>
        </w:rPr>
        <w:t xml:space="preserve">4.4 预留授予限制性股票第一个解除限售期解锁，475,926股于2026年9月3日上市流通</w:t>
      </w:r>
    </w:p>
    <w:p>
      <w:pPr>
        <w:spacing w:after="160" w:line="300"/>
      </w:pPr>
      <w:r>
        <w:rPr>
          <w:sz w:val="22"/>
          <w:szCs w:val="22"/>
        </w:rPr>
        <w:t xml:space="preserve">科沃斯于2026年8月29日披露《关于2024年股票期权与限制性股票激励计划预留授予限制性股票第一个解除限售期解锁暨上市公告》。本次解除限售的限制性股票数量为475,926股，上市流通日为2026年9月3日，股份来源于2024年股票期权与限制性股票激励计划预留授予部分。公司此前披露因部分激励对象离职，将回购注销部分尚未解除限售的限制性股票；2026年8月22日公告显示，本次回购注销完成后公司股份总数预计减少161,550股。上述事项属于股权激励股份解锁及激励对象离职导致的限制性股票回购注销，并非面向二级市场实施的股份回购。</w:t>
      </w:r>
    </w:p>
    <w:p>
      <w:pPr>
        <w:pStyle w:val="Heading2"/>
        <w:spacing w:after="120" w:before="240"/>
      </w:pPr>
      <w:r>
        <w:rPr>
          <w:b/>
          <w:bCs/>
          <w:color w:val="2E74B5"/>
          <w:sz w:val="24"/>
          <w:szCs w:val="24"/>
        </w:rPr>
        <w:t xml:space="preserve">4.5 “科沃转债”不向下修正转股价格，六个月内不再提出下修方案</w:t>
      </w:r>
    </w:p>
    <w:p>
      <w:pPr>
        <w:spacing w:after="160" w:line="300"/>
      </w:pPr>
      <w:r>
        <w:rPr>
          <w:sz w:val="22"/>
          <w:szCs w:val="22"/>
        </w:rPr>
        <w:t xml:space="preserve">2026年8月10日，科沃斯董事会审议通过不向下修正“科沃转债”转股价格的议案，并于2026年8月11日披露公告。截至2026年8月10日，“科沃转债”转股价格已触发向下修正条款，公司决定本次不向下修正转股价格；未来六个月，即2026年8月11日至2027年2月10日，如再次触发向下修正条件，公司亦不提出向下修正方案。公告披露时“科沃转债”最新转股价格为172.97元/股，存续期为2021年11月30日至2027年11月29日。该决定可避免转股价格下修带来的潜在股本摊薄幅度扩大，但若公司股价持续低于转股价格，可能降低可转债转股意愿，并增加后续回售、偿付或转股安排的不确定性。</w:t>
      </w:r>
    </w:p>
    <w:p>
      <w:pPr>
        <w:pStyle w:val="Heading2"/>
        <w:spacing w:after="120" w:before="240"/>
      </w:pPr>
      <w:r>
        <w:rPr>
          <w:b/>
          <w:bCs/>
          <w:color w:val="2E74B5"/>
          <w:sz w:val="24"/>
          <w:szCs w:val="24"/>
        </w:rPr>
        <w:t xml:space="preserve">4.6 可转债募投项目结项，节余募集资金永久补充流动资金</w:t>
      </w:r>
    </w:p>
    <w:p>
      <w:pPr>
        <w:spacing w:after="160" w:line="300"/>
      </w:pPr>
      <w:r>
        <w:rPr>
          <w:sz w:val="22"/>
          <w:szCs w:val="22"/>
        </w:rPr>
        <w:t xml:space="preserve">科沃斯于2026年8月6日披露《关于公开发行A股可转换公司债券募集资金投资项目结项暨节余募集资金永久补充流动资金并注销专户的公告》。截至2026年6月30日，公司2021年公开发行可转换公司债券涉及的三个募投项目累计使用募集资金108,427.95万元，募集资金余额约441.72万元。项目结项后，公司将节余募集资金用于永久补充流动资金，并注销相关募集资金专户。</w:t>
      </w:r>
    </w:p>
    <w:p>
      <w:pPr>
        <w:pStyle w:val="Heading2"/>
        <w:spacing w:after="120" w:before="240"/>
      </w:pPr>
      <w:r>
        <w:rPr>
          <w:b/>
          <w:bCs/>
          <w:color w:val="2E74B5"/>
          <w:sz w:val="24"/>
          <w:szCs w:val="24"/>
        </w:rPr>
        <w:t xml:space="preserve">4.7 为全资子公司新增担保30万美元</w:t>
      </w:r>
    </w:p>
    <w:p>
      <w:pPr>
        <w:spacing w:after="160" w:line="300"/>
      </w:pPr>
      <w:r>
        <w:rPr>
          <w:sz w:val="22"/>
          <w:szCs w:val="22"/>
        </w:rPr>
        <w:t xml:space="preserve">科沃斯于2026年8月27日披露《关于调整为全资子公司提供担保进展的公告》。被担保人为ECOVACS ROBOTICS INC.，本次担保金额为30万美元；本次担保前公司对该子公司担保余额为310万美元，本次担保在此前预计担保额度内。截至公告日，公司及控股子公司对外担保总额约11,044.23万元人民币，占公司最近一期经审计净资产的比例约1.22%，公司不存在担保逾期。</w:t>
      </w:r>
    </w:p>
    <w:p>
      <w:pPr>
        <w:pStyle w:val="Heading2"/>
        <w:spacing w:after="120" w:before="240"/>
      </w:pPr>
      <w:r>
        <w:rPr>
          <w:b/>
          <w:bCs/>
          <w:color w:val="2E74B5"/>
          <w:sz w:val="24"/>
          <w:szCs w:val="24"/>
        </w:rPr>
        <w:t xml:space="preserve">4.8 半年报披露前十大流通股东变化，暂未发现9月实际控制人或控股股东重大增减持公告</w:t>
      </w:r>
    </w:p>
    <w:p>
      <w:pPr>
        <w:spacing w:after="160" w:line="300"/>
      </w:pPr>
      <w:r>
        <w:rPr>
          <w:sz w:val="22"/>
          <w:szCs w:val="22"/>
        </w:rPr>
        <w:t xml:space="preserve">截至2026年6月30日，科沃斯前十大流通股东出现一定调整：SKYSURE LIMITED相关持股主体名称出现变动，但持股数量约1,260万股，占流通股比例约2.20%；北向资金持股约1,052.41万股，较上一报告期增加约5.5%；华夏中证机器人ETF持股约344.34万股，较上一报告期下降45.86%；易方达国证机器人产业ETF持股约336.95万股，较上一报告期下降54.07%。上述数据为截至2026年6月30日的季度末持股数据，不等同于2026年9月实时持仓。公开检索中，暂未发现2026年9月科沃斯实际控制人、控股股东发布新的增持、减持或股权质押重大公告。2026年跟踪评级资料显示，截至2026年3月末，公司第一大股东苏州创领智慧投资管理有限公司持股比例约41.74%，无股权质押；实际控制人为钱东奇。</w:t>
      </w:r>
    </w:p>
    <w:p>
      <w:pPr>
        <w:pStyle w:val="Heading2"/>
        <w:spacing w:after="120" w:before="240"/>
      </w:pPr>
      <w:r>
        <w:rPr>
          <w:b/>
          <w:bCs/>
          <w:color w:val="2E74B5"/>
          <w:sz w:val="24"/>
          <w:szCs w:val="24"/>
        </w:rPr>
        <w:t xml:space="preserve">4.9 截至2026年9月13日未检索到新的二级市场股份回购计划或进展公告</w:t>
      </w:r>
    </w:p>
    <w:p>
      <w:pPr>
        <w:spacing w:after="160" w:line="300"/>
      </w:pPr>
      <w:r>
        <w:rPr>
          <w:sz w:val="22"/>
          <w:szCs w:val="22"/>
        </w:rPr>
        <w:t xml:space="preserve">截至2026年9月13日，未检索到科沃斯在2026年8月至9月实施新的面向二级市场的股份回购计划、回购进展公告或回购完成公告。近期出现的“回购注销”主要是因股权激励对象离职或考核未达标，对限制性股票进行回购注销；相关股票期权注销也属于股权激励计划调整，不属于公司使用自有资金从二级市场回购普通股的市值管理型回购。</w:t>
      </w:r>
    </w:p>
    <w:p>
      <w:pPr>
        <w:pStyle w:val="Heading2"/>
        <w:spacing w:after="120" w:before="240"/>
      </w:pPr>
      <w:r>
        <w:rPr>
          <w:b/>
          <w:bCs/>
          <w:color w:val="2E74B5"/>
          <w:sz w:val="24"/>
          <w:szCs w:val="24"/>
        </w:rPr>
        <w:t xml:space="preserve">4.10 截至2026年9月13日未检索到重大并购、重组或战略投资者引进公告</w:t>
      </w:r>
    </w:p>
    <w:p>
      <w:pPr>
        <w:spacing w:after="160" w:line="300"/>
      </w:pPr>
      <w:r>
        <w:rPr>
          <w:sz w:val="22"/>
          <w:szCs w:val="22"/>
        </w:rPr>
        <w:t xml:space="preserve">截至2026年9月13日，未检索到科沃斯在2026年8月至9月披露重大资产重组、发行股份购买资产、重大并购或引进战略投资者的正式公告。2026年9月德国柏林IFA展期间，公司展示了覆盖室内地面、玻璃窗面、庭院草坪及泳池养护等场景的产品矩阵，反映公司继续推进清洁机器人多场景、全品类及海外化布局。但目前尚未检索到与该展会直接相关的重大合同金额或并购事项公告。</w:t>
      </w:r>
    </w:p>
    <w:p>
      <w:pPr>
        <w:pStyle w:val="Heading2"/>
        <w:spacing w:after="120" w:before="240"/>
      </w:pPr>
      <w:r>
        <w:rPr>
          <w:b/>
          <w:bCs/>
          <w:color w:val="2E74B5"/>
          <w:sz w:val="24"/>
          <w:szCs w:val="24"/>
        </w:rPr>
        <w:t xml:space="preserve">4.11 截至2026年9月13日未检索到重大监管措施公告</w:t>
      </w:r>
    </w:p>
    <w:p>
      <w:pPr>
        <w:spacing w:after="160" w:line="300"/>
      </w:pPr>
      <w:r>
        <w:rPr>
          <w:sz w:val="22"/>
          <w:szCs w:val="22"/>
        </w:rPr>
        <w:t xml:space="preserve">截至2026年9月13日，未检索到科沃斯被上海证券交易所、中国证监会或其他监管机构采取立案调查、纪律处分、公开谴责、监管警示或问询回复等重大监管措施的公告。公司2026年半年度报告提到，原材料价格上涨、汇兑损失、竞争加剧以及国补应收款回收节奏等因素可能对经营现金流和利润质量产生影响，相关内容属于定期报告中的经营风险提示，不属于针对科沃斯的专项监管政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51.46元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+1.57元，+3.15%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49.85元/51.46元/48.73元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643.06万股，约6.43万手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约3.21亿元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48.40~111.69元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按收盘价估算约298亿元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约14.26~14.70倍；不同数据源及计算口径存在差异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51.69元/52.00元/54.87元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截至2026年9月10日收盘，股价低于短中期均线；9月11日收盘价重新接近MA5和MA10，但尚未有效站上MA10及MA20，均线仍对股价形成压制。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-1.64，DEA -1.17，MACD柱 -0.94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DIF低于DEA，且两者均处于零轴下方，MACD柱为负，趋势动能偏弱；截至纪要数据，尚不足以确认金叉或趋势反转。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24.6，RSI12 33.6，RSI24 40.6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RSI6处于传统超卖区间，RSI12接近弱势区域，RSI24显示中期动能尚未明显修复；存在超跌反弹条件，但超卖不等于趋势反转。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上轨62.33元，中轨54.87元，下轨47.41元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股价位于下轨与中轨之间且明显低于中轨；54.87元附近构成上方压力，47.41元附近构成下方技术支撑。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2026年8月20日61.50元至9月10日49.89元，阶段性回撤约18.9%；9月11日收盘51.46元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9月11日低开后冲高并反弹3.15%，属于短线快速修复，但尚未改变8月下旬以来的中期弱势结构。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截至2026年9月10日最近10个交易日合计净流出约4472万元，其中2天净流入、8天净流出；最近7个交易日连续净流出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成交结构偏弱；该指标按大单、超大单成交金额划分，不等同于真实机构身份，不能单独作为趋势判断依据。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波动性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截至2026年9月10日，量比约0.86，振幅3.29%，ATR(14)约为收盘价的3.91%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个股仍具有较明显的日内波动，量比低于或接近近期常态水平。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筹码及股东结构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截至2026年6月30日，前十大流通股东持有约4.19亿股，占流通股本约73.17%；前十大股东占总股本约72.5%；机构持仓统计为422家主力机构，合计持股约4.395亿股，占流通A股约76.66%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股东持股比例较高，流通盘集中度较高；前十大机构投资者既包括控股股东及关联方，也包括香港中央结算、机器人ETF、易方达国证机器人产业ETF等机构或指数资金。上述为季度末快照，距离2026年9月11日已有约两个半月，不能视为当前实时持仓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截至2026年6月30日为52,876户，较2026年3月31日增加4599户，环比增加9.53%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股东户数增加，结合机构持仓较2025年年末减少，显示筹码可能出现一定程度分散或机构减仓；具体当前结构仍存在时滞。</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历史成交推算筹码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截至2026年9月10日，约95.5%的筹码处于浮亏状态，中位持仓成本约55.20元，70%筹码成本区间约为50.60~64.40元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该数据基于历史成交和换手推算，不能替代上市公司披露的股东名册。</w:t>
            </w:r>
          </w:p>
        </w:tc>
      </w:tr>
    </w:tbl>
    <w:p>
      <w:pPr>
        <w:spacing w:before="200"/>
      </w:pPr>
    </w:p>
    <w:p>
      <w:pPr>
        <w:spacing w:after="160" w:line="300"/>
      </w:pPr>
      <w:r>
        <w:rPr>
          <w:sz w:val="22"/>
          <w:szCs w:val="22"/>
        </w:rPr>
        <w:t xml:space="preserve">截至2026年9月11日，科沃斯收盘价为51.46元，较前一交易日上涨3.15%，成交额约3.21亿元、换手率1.12%。股价自8月下旬以来由61.50元回撤至9月10日的49.89元，9月11日出现低开后冲高修复，但仍处于MA10、MA20及布林带中轨下方。RSI6进入超卖区间，为短线反弹提供一定条件，但MACD仍位于零轴下方且主力资金近10个交易日合计净流出约4472万元，暂不足以确认趋势反转。短线支撑主要集中在48.7~50元及47.4~48.4元区域，上方需观察52元和54.87元附近的压力及量能持续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52.0~54.9元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52.0元附近对应MA10及短线反弹压力，54.87元对应MA20和布林带中轨；若放量站稳54.9元，可进一步观察56~57元区域。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48.7~50.0元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包括2026年9月11日盘中低点48.73元、9月10日收盘价49.89元及近期弱势震荡下沿；若该区域缩量企稳，短线可能维持反弹后的震荡结构。</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47.4~48.4元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对应布林带下轨47.41元及52周低点48.40元；若有效跌破该区域，可能向更低区间寻找支撑，弱势趋势可能重新强化。</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属于基于当前技术面和资金流的主观判断，不是统计概率）：参考区间为49~54元。触发条件是股价守住48.7~50元支撑区，但反弹至52~54.9元时成交额未持续放大，或板块整体表现一般。RSI6处于超卖区且9月11日出现反弹，但MACD仍在零轴下方、MA20及布林带中轨在54.87元附近形成压制，超跌修复与上方套牢盘压力可能并存。</w:t>
      </w:r>
    </w:p>
    <w:p>
      <w:pPr>
        <w:pStyle w:val="ListParagraph"/>
        <w:numPr>
          <w:ilvl w:val="0"/>
          <w:numId w:val="2"/>
        </w:numPr>
        <w:spacing w:after="80" w:line="280"/>
      </w:pPr>
      <w:r>
        <w:rPr>
          <w:sz w:val="22"/>
          <w:szCs w:val="22"/>
        </w:rPr>
        <w:t xml:space="preserve">偏弱下行（主观权重中等，约三成左右；属于基于当前技术面和资金流的主观判断，不是统计概率）：参考区间为47.4~49元，弱势情况下不排除测试48.4元附近前低。触发条件是股价重新跌破48.7~50元支撑带，且单日成交额放大、主力资金继续净流出，或小家电、消费板块同步走弱。若9月11日反弹被快速吞没，可能说明放量上行尚未转化为持续性资金介入。</w:t>
      </w:r>
    </w:p>
    <w:p>
      <w:pPr>
        <w:pStyle w:val="ListParagraph"/>
        <w:numPr>
          <w:ilvl w:val="0"/>
          <w:numId w:val="2"/>
        </w:numPr>
        <w:spacing w:after="80" w:line="280"/>
      </w:pPr>
      <w:r>
        <w:rPr>
          <w:sz w:val="22"/>
          <w:szCs w:val="22"/>
        </w:rPr>
        <w:t xml:space="preserve">反弹走强（主观权重偏低，约一成至两成；属于基于当前技术面和资金流的主观判断，不是统计概率）：参考区间为54~57元。触发条件是股价有效站上52元，并进一步突破54.87元MA20及布林带中轨，同时成交额连续放大至约3.5亿~4亿元以上，主力资金由连续净流出转为连续净流入。该情景需要后续量价配合；在MACD尚未金叉、RSI中周期指标仍偏弱的情况下，暂不宜赋予过高权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成交额由2026年9月8日的约1.45亿元升至9月11日的约3.21亿元，换手率由0.48%升至1.12%，显示短线反弹伴随量能改善，但1.12%的换手率仍不属于极高换手。当前更接近中等流动性下的资金博弈，需注意单日放量尚不能确认趋势反转。股东结构方面，截至2026年6月30日，前十大股东合计持股约72.5%，前十大流通股东占流通股本约73.17%，机构持仓统计占流通A股约76.66%；前十大机构投资者包含控股股东及关联方，也包含香港中央结算、机器人ETF、易方达国证机器人产业ETF等机构或指数资金。由于该数据为季度末快照，距离2026年9月11日已有约两个半月，实际结构可能已经变化。股东户数同期环比增加9.53%，且机构持仓较2025年年末减少，显示筹码可能出现一定程度分散或机构减仓。上述集中度较高，但不能据此推断当前实时订单簿或买卖盘深度。</w:t>
      </w:r>
    </w:p>
    <w:p>
      <w:pPr>
        <w:spacing w:after="160" w:line="300"/>
      </w:pPr>
      <w:r>
        <w:rPr>
          <w:sz w:val="22"/>
          <w:szCs w:val="22"/>
        </w:rPr>
        <w:t xml:space="preserve">可复核的量能确认信号：若未来一周连续两日成交额达到3.5亿~4亿元以上，且收盘价同步站稳52元并进一步接近或突破54.87元，可视为短线资金参与度改善的确认信号；若放量主要发生在下跌日，则更可能代表抛压释放，而非有效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观察股价能否守住48.7~50元支撑区，若跌破则关注47.4~48.4元强支撑区。</w:t>
      </w:r>
    </w:p>
    <w:p>
      <w:pPr>
        <w:pStyle w:val="ListParagraph"/>
        <w:numPr>
          <w:ilvl w:val="0"/>
          <w:numId w:val="2"/>
        </w:numPr>
        <w:spacing w:after="80" w:line="280"/>
      </w:pPr>
      <w:r>
        <w:rPr>
          <w:sz w:val="22"/>
          <w:szCs w:val="22"/>
        </w:rPr>
        <w:t xml:space="preserve">观察52元附近能否由压力转为支撑，以及54.87元MA20和布林带中轨能否被有效突破。</w:t>
      </w:r>
    </w:p>
    <w:p>
      <w:pPr>
        <w:pStyle w:val="ListParagraph"/>
        <w:numPr>
          <w:ilvl w:val="0"/>
          <w:numId w:val="2"/>
        </w:numPr>
        <w:spacing w:after="80" w:line="280"/>
      </w:pPr>
      <w:r>
        <w:rPr>
          <w:sz w:val="22"/>
          <w:szCs w:val="22"/>
        </w:rPr>
        <w:t xml:space="preserve">观察成交额能否连续达到3.5亿~4亿元以上，并与上涨同步。</w:t>
      </w:r>
    </w:p>
    <w:p>
      <w:pPr>
        <w:pStyle w:val="ListParagraph"/>
        <w:numPr>
          <w:ilvl w:val="0"/>
          <w:numId w:val="2"/>
        </w:numPr>
        <w:spacing w:after="80" w:line="280"/>
      </w:pPr>
      <w:r>
        <w:rPr>
          <w:sz w:val="22"/>
          <w:szCs w:val="22"/>
        </w:rPr>
        <w:t xml:space="preserve">观察主力资金能否结束连续净流出状态；截至2026年9月10日，最近7个交易日仍为连续净流出。以上均为观察思路，非操作指令。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公司所在行业涵盖家用服务机器人和智能清洁电器。行业竞争已由单纯硬件竞争转向技术、品牌、渠道、供应链和海外运营的综合竞争，头部企业从扫地机器人向擦窗、割草、泳池和具身智能等场景拓展。</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家用服务机器人：2025年全球扫地机器人出货量约2,412.4万台，同比增长17.1%；中国市场扫地机器人零售额约213亿元，同比增长10.2%，零售量约673万台，同比增长11.6%。中国线上扫地机器人市场前四大品牌按零售额计算的市场份额合计85.3%，行业集中度较高。</w:t>
      </w:r>
    </w:p>
    <w:p>
      <w:pPr>
        <w:pStyle w:val="ListParagraph"/>
        <w:numPr>
          <w:ilvl w:val="0"/>
          <w:numId w:val="2"/>
        </w:numPr>
        <w:spacing w:after="80" w:line="280"/>
      </w:pPr>
      <w:r>
        <w:rPr>
          <w:sz w:val="22"/>
          <w:szCs w:val="22"/>
        </w:rPr>
        <w:t xml:space="preserve">扫地机器人竞争方向包括激光雷达、视觉识别、三维避障、AI语义识别、扫拖一体、自动集尘、自动上下水、热水洗拖布和活水洗地等；中高端产品占比提升，但中低端价格竞争仍较激烈。</w:t>
      </w:r>
    </w:p>
    <w:p>
      <w:pPr>
        <w:pStyle w:val="ListParagraph"/>
        <w:numPr>
          <w:ilvl w:val="0"/>
          <w:numId w:val="2"/>
        </w:numPr>
        <w:spacing w:after="80" w:line="280"/>
      </w:pPr>
      <w:r>
        <w:rPr>
          <w:sz w:val="22"/>
          <w:szCs w:val="22"/>
        </w:rPr>
        <w:t xml:space="preserve">洗地机行业：2025年中国市场零售额约162亿元，同比增长14.9%；零售量约821万台，同比增长24.2%。截至2025年末，在销品牌数量为71家，较上年末减少35家；前三品牌线上零售额份额为68.4%。</w:t>
      </w:r>
    </w:p>
    <w:p>
      <w:pPr>
        <w:pStyle w:val="ListParagraph"/>
        <w:numPr>
          <w:ilvl w:val="0"/>
          <w:numId w:val="2"/>
        </w:numPr>
        <w:spacing w:after="80" w:line="280"/>
      </w:pPr>
      <w:r>
        <w:rPr>
          <w:sz w:val="22"/>
          <w:szCs w:val="22"/>
        </w:rPr>
        <w:t xml:space="preserve">2025年线上洗地机均价约1,903元，1,000至3,000元价格带占线上零售额83.2%，行业仍存在较明显的性价比竞争，品牌溢价和成本控制能力均重要。</w:t>
      </w:r>
    </w:p>
    <w:p>
      <w:pPr>
        <w:pStyle w:val="ListParagraph"/>
        <w:numPr>
          <w:ilvl w:val="0"/>
          <w:numId w:val="2"/>
        </w:numPr>
        <w:spacing w:after="80" w:line="280"/>
      </w:pPr>
      <w:r>
        <w:rPr>
          <w:sz w:val="22"/>
          <w:szCs w:val="22"/>
        </w:rPr>
        <w:t xml:space="preserve">行业数据主要来自公司年报引用的IDC、奥维云网等第三方机构，不同机构可能按零售额、零售量、线上渠道或全渠道统计，相关口径不能混用。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石头科技（688169.SH）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智能扫地机器人和智能清洁硬件科技公司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在激光雷达、视觉导航、算法、智能避障和高端扫地机器人方面竞争力较强，全球化程度较高；与科沃斯在扫地机器人、洗地机及海外市场直接竞争。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追觅科技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以高速数字电机、吸力、智能清洁和高端家电为特色的清洁电器品牌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在高速电机、吸力、机械臂、边角清洁及多品类拓展方面较突出，海外扩张较快；为非上市公司，公开财务和产能数据有限。</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云鲸智能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以拖地、自清洁和洗地体验为特色的家用清洁机器人品牌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重点布局扫拖一体和高端清洁体验，在拖地机器人、自清洁基站和洗地功能方面形成差异化；为非上市公司，公开财务数据有限。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小米/米家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依托小米生态链、智能家居平台和大规模渠道的综合型智能硬件品牌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具备生态链、品牌流量和渠道优势，对行业中低价格段及智能家居互联体验具有较强影响力。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iRobot</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全球较早的家用扫地机器人品牌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在欧美市场与科沃斯存在历史竞争关系；中国品牌在产品功能、基站能力、供应链效率和价格竞争力方面提升后，其更多属于海外品牌和全球市场的对照型竞争对手。</w:t>
            </w:r>
          </w:p>
        </w:tc>
      </w:tr>
    </w:tbl>
    <w:p>
      <w:pPr>
        <w:spacing w:before="200"/>
      </w:pPr>
    </w:p>
    <w:p>
      <w:pPr>
        <w:spacing w:after="160" w:line="300"/>
      </w:pPr>
      <w:r>
        <w:rPr>
          <w:sz w:val="22"/>
          <w:szCs w:val="22"/>
        </w:rPr>
        <w:t xml:space="preserve">科沃斯相较石头科技，产品品类更广，服务机器人布局更早，覆盖擦窗、割草等产品矩阵；相较追觅，科沃斯在服务机器人品牌历史、线下渠道和国内品牌认知方面更成熟；相较云鲸，科沃斯覆盖擦窗、割草和商用服务机器人，产品矩阵更广；相较小米/米家，科沃斯更聚焦清洁机器人专业研发、服务机器人品类和高端品牌运营。追觅、云鲸为非上市公司，缺少经过审计的完整财务、产能和盈利数据，相关比较主要基于产品、品牌和行业地位，不能进行完全同口径的财务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扣非盈利下滑风险：2026年上半年扣非归母净利润同比下降6.37%，二季度扣非归母净利润同比下降18.9%；若非经常性损益减少，归母净利润增速可能明显低于表观增速。</w:t>
      </w:r>
    </w:p>
    <w:p>
      <w:pPr>
        <w:pStyle w:val="ListParagraph"/>
        <w:numPr>
          <w:ilvl w:val="0"/>
          <w:numId w:val="2"/>
        </w:numPr>
        <w:spacing w:after="80" w:line="280"/>
      </w:pPr>
      <w:r>
        <w:rPr>
          <w:sz w:val="22"/>
          <w:szCs w:val="22"/>
        </w:rPr>
        <w:t xml:space="preserve">经营现金流及库存占用风险：2026年上半年经营活动现金流净额约2.06亿元，同比下降85.82%；公司此前服务机器人库存同比增长78.76%，高于销量增速，若新品或海外库存消化不及预期，可能增加资金占用和存货减值压力。</w:t>
      </w:r>
    </w:p>
    <w:p>
      <w:pPr>
        <w:pStyle w:val="ListParagraph"/>
        <w:numPr>
          <w:ilvl w:val="0"/>
          <w:numId w:val="2"/>
        </w:numPr>
        <w:spacing w:after="80" w:line="280"/>
      </w:pPr>
      <w:r>
        <w:rPr>
          <w:sz w:val="22"/>
          <w:szCs w:val="22"/>
        </w:rPr>
        <w:t xml:space="preserve">汇率及海外经营风险：公司海外业务收入占总收入45.9%，2026年上半年财务费用由2025年同期负16.38亿元转为1.12亿元，主要受到汇兑损失增加影响；海外渠道费用、售后成本、关税及汇率波动可能继续侵蚀利润。</w:t>
      </w:r>
    </w:p>
    <w:p>
      <w:pPr>
        <w:pStyle w:val="ListParagraph"/>
        <w:numPr>
          <w:ilvl w:val="0"/>
          <w:numId w:val="2"/>
        </w:numPr>
        <w:spacing w:after="80" w:line="280"/>
      </w:pPr>
      <w:r>
        <w:rPr>
          <w:sz w:val="22"/>
          <w:szCs w:val="22"/>
        </w:rPr>
        <w:t xml:space="preserve">品牌与价格竞争风险：扫地机器人和洗地机市场竞争激烈，洗地机线上1,000—3,000元价格带占零售额83.2%，公司在中低价格段和洗地机市场仍面临性价比竞争；若促销加剧或产品均价下降，毛利率改善可能难以延续。</w:t>
      </w:r>
    </w:p>
    <w:p>
      <w:pPr>
        <w:pStyle w:val="ListParagraph"/>
        <w:numPr>
          <w:ilvl w:val="0"/>
          <w:numId w:val="2"/>
        </w:numPr>
        <w:spacing w:after="80" w:line="280"/>
      </w:pPr>
      <w:r>
        <w:rPr>
          <w:sz w:val="22"/>
          <w:szCs w:val="22"/>
        </w:rPr>
        <w:t xml:space="preserve">添可品牌增长放缓风险：2026年上半年添可品牌收入同比增长10.66%，低于科沃斯品牌服务机器人26.82%的增速；若洗地机行业价格竞争持续，公司整体收入结构和利润改善可能受到拖累。</w:t>
      </w:r>
    </w:p>
    <w:p>
      <w:pPr>
        <w:pStyle w:val="ListParagraph"/>
        <w:numPr>
          <w:ilvl w:val="0"/>
          <w:numId w:val="2"/>
        </w:numPr>
        <w:spacing w:after="80" w:line="280"/>
      </w:pPr>
      <w:r>
        <w:rPr>
          <w:sz w:val="22"/>
          <w:szCs w:val="22"/>
        </w:rPr>
        <w:t xml:space="preserve">上游供应链与自产项目爬坡风险：2025年直接材料成本占营业成本77.34%，电芯、芯片、传感器、电子元器件及锂电材料仍依赖外部供应；2GWh电池项目截至2025年末仅有1GWh产线投入使用，剩余产能仍处于建设或投产爬坡阶段，自产零部件对成本和交付的改善存在不确定性。</w:t>
      </w:r>
    </w:p>
    <w:p>
      <w:pPr>
        <w:pStyle w:val="ListParagraph"/>
        <w:numPr>
          <w:ilvl w:val="0"/>
          <w:numId w:val="2"/>
        </w:numPr>
        <w:spacing w:after="80" w:line="280"/>
      </w:pPr>
      <w:r>
        <w:rPr>
          <w:sz w:val="22"/>
          <w:szCs w:val="22"/>
        </w:rPr>
        <w:t xml:space="preserve">可转债相关风险：公司决定2026年8月起六个月内不向下修正“科沃转债”转股价格，最新转股价格为172.97元/股；若股价持续低于转股价格，可能降低转股意愿，并增加后续回售、偿付或转股安排的不确定性。</w:t>
      </w:r>
    </w:p>
    <w:p>
      <w:pPr>
        <w:pStyle w:val="ListParagraph"/>
        <w:numPr>
          <w:ilvl w:val="0"/>
          <w:numId w:val="2"/>
        </w:numPr>
        <w:spacing w:after="80" w:line="280"/>
      </w:pPr>
      <w:r>
        <w:rPr>
          <w:sz w:val="22"/>
          <w:szCs w:val="22"/>
        </w:rPr>
        <w:t xml:space="preserve">股价与筹码波动风险：截至2026年9月11日股价仍低于MA20和布林带中轨，最近7个交易日主力资金连续净流出；历史成交推算约95.5%的筹码处于浮亏状态，中位持仓成本约55.20元，若48.7—50元支撑区失守，市场抛压可能重新增加。</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具备较清晰的增长支撑：科沃斯品牌服务机器人收入和出货量增长较快，海外业务占比提升，擦窗、割草、活水洗地等新品类以及电机、电池、传动系统等零部件布局，有望推动产品结构优化和单位成本改善。2026年上半年服务机器人收入增速明显高于添可品牌，表明当前增长重心正在向服务机器人及多场景产品倾斜。</w:t>
      </w:r>
    </w:p>
    <w:p>
      <w:pPr>
        <w:spacing w:after="160" w:line="300"/>
      </w:pPr>
      <w:r>
        <w:rPr>
          <w:sz w:val="22"/>
          <w:szCs w:val="22"/>
        </w:rPr>
        <w:t xml:space="preserve">后续业绩能否延续改善，关键取决于服务机器人库存消化、新品放量、海外收入能否转化为稳定利润，以及自产零部件对成本和交付的改善程度。机构对2026—2028年收入和归母净利润仍保持增长预期，但这些预测并非公司指引；公司需要以持续的扣非利润增长、经营现金流修复和费用及汇兑压力缓解来验证盈利质量。</w:t>
      </w:r>
    </w:p>
    <w:p>
      <w:pPr>
        <w:spacing w:after="160" w:line="300"/>
      </w:pPr>
      <w:r>
        <w:rPr>
          <w:sz w:val="22"/>
          <w:szCs w:val="22"/>
        </w:rPr>
        <w:t xml:space="preserve">短期而言，股价处于超跌反弹与中期均线压制并存的状态，需关注48.7—50元支撑区、52元及54.87元附近压力，以及成交量和资金流向是否持续改善。基本面方面，则应重点跟踪2026年三季度及全年正式业绩、库存变化、海外业务利润贡献和现金流表现，技术指标与市场预测均不能替代公司实际经营结果。</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科沃斯机器人股份有限公司2025年年度报告 — https://static.cninfo.com.cn/finalpage/2026-04-25/1225188666.PDF</w:t>
      </w:r>
    </w:p>
    <w:p>
      <w:pPr>
        <w:spacing w:after="200"/>
      </w:pPr>
      <w:r>
        <w:rPr>
          <w:i/>
          <w:iCs/>
          <w:color w:val="595959"/>
          <w:sz w:val="18"/>
          <w:szCs w:val="18"/>
        </w:rPr>
        <w:t xml:space="preserve">科沃斯(603486)_公司公告_科沃斯：2026年度跟踪评级报告新浪财经_新浪网 — https://money.finance.sina.com.cn/corp/view/vCB_AllBulletinDetail.php?id=12410251&amp;stockid=603486</w:t>
      </w:r>
    </w:p>
    <w:p>
      <w:pPr>
        <w:spacing w:after="200"/>
      </w:pPr>
      <w:r>
        <w:rPr>
          <w:i/>
          <w:iCs/>
          <w:color w:val="595959"/>
          <w:sz w:val="18"/>
          <w:szCs w:val="18"/>
        </w:rPr>
        <w:t xml:space="preserve">科沃斯(603486)_公司公告_科沃斯：2025年年度报告新浪财经_新浪网 — https://money.finance.sina.com.cn/corp/view/vCB_AllBulletinDetail.php?id=12191589&amp;stockid=603486&amp;utm_source=openai</w:t>
      </w:r>
    </w:p>
    <w:p>
      <w:pPr>
        <w:spacing w:after="200"/>
      </w:pPr>
      <w:r>
        <w:rPr>
          <w:i/>
          <w:iCs/>
          <w:color w:val="595959"/>
          <w:sz w:val="18"/>
          <w:szCs w:val="18"/>
        </w:rPr>
        <w:t xml:space="preserve">公司公告_科沃斯：2024年年度报告新浪财经_新浪网 — https://vip.stock.finance.sina.com.cn/corp/view/vCB_AllBulletinDetail.php?id=11000624</w:t>
      </w:r>
    </w:p>
    <w:p>
      <w:pPr>
        <w:spacing w:after="200"/>
      </w:pPr>
      <w:r>
        <w:rPr>
          <w:i/>
          <w:iCs/>
          <w:color w:val="595959"/>
          <w:sz w:val="18"/>
          <w:szCs w:val="18"/>
        </w:rPr>
        <w:t xml:space="preserve">科沃斯(603486)_公司公告_科沃斯：2023年度跟踪评级报告新浪财经_新浪网 — https://vip.stock.finance.sina.com.cn/corp/view/vCB_AllBulletinDetail.php?id=9306494&amp;stockid=603486</w:t>
      </w:r>
    </w:p>
    <w:p>
      <w:pPr>
        <w:spacing w:after="200"/>
      </w:pPr>
      <w:r>
        <w:rPr>
          <w:i/>
          <w:iCs/>
          <w:color w:val="595959"/>
          <w:sz w:val="18"/>
          <w:szCs w:val="18"/>
        </w:rPr>
        <w:t xml:space="preserve">https://static.cninfo.com.cn/finalpage/2025-06-04/1223748237.PDF — https://static.cninfo.com.cn/finalpage/2025-06-04/1223748237.PDF</w:t>
      </w:r>
    </w:p>
    <w:p>
      <w:pPr>
        <w:spacing w:after="200"/>
      </w:pPr>
      <w:r>
        <w:rPr>
          <w:i/>
          <w:iCs/>
          <w:color w:val="595959"/>
          <w:sz w:val="18"/>
          <w:szCs w:val="18"/>
        </w:rPr>
        <w:t xml:space="preserve">科沃斯机器人股份有限公司2024年年度报告 — https://static.cninfo.com.cn/finalpage/2025-04-26/1223323879.PDF</w:t>
      </w:r>
    </w:p>
    <w:p>
      <w:pPr>
        <w:spacing w:after="200"/>
      </w:pPr>
      <w:r>
        <w:rPr>
          <w:i/>
          <w:iCs/>
          <w:color w:val="595959"/>
          <w:sz w:val="18"/>
          <w:szCs w:val="18"/>
        </w:rPr>
        <w:t xml:space="preserve">石头科技(688169)_公司公告_石头科技：2025年年度报告新浪财经_新浪网 — https://money.finance.sina.com.cn/corp/view/vCB_AllBulletinDetail.php?id=12142877&amp;stockid=688169&amp;utm_source=openai</w:t>
      </w:r>
    </w:p>
    <w:p>
      <w:pPr>
        <w:spacing w:after="200"/>
      </w:pPr>
      <w:r>
        <w:rPr>
          <w:i/>
          <w:iCs/>
          <w:color w:val="595959"/>
          <w:sz w:val="18"/>
          <w:szCs w:val="18"/>
        </w:rPr>
        <w:t xml:space="preserve">科沃斯(603486)_公司公告_科沃斯：2026年半年度报告新浪财经_新浪网 — https://vip.stock.finance.sina.com.cn/corp/view/vCB_AllBulletinDetail.php?id=12519158&amp;stockid=603486</w:t>
      </w:r>
    </w:p>
    <w:p>
      <w:pPr>
        <w:spacing w:after="200"/>
      </w:pPr>
      <w:r>
        <w:rPr>
          <w:i/>
          <w:iCs/>
          <w:color w:val="595959"/>
          <w:sz w:val="18"/>
          <w:szCs w:val="18"/>
        </w:rPr>
        <w:t xml:space="preserve">科沃斯(603486) 盈利预测_F10_同花顺金融服务网 — https://basic.10jqka.com.cn/144/603486/worth.html?utm_source=openai</w:t>
      </w:r>
    </w:p>
    <w:p>
      <w:pPr>
        <w:spacing w:after="200"/>
      </w:pPr>
      <w:r>
        <w:rPr>
          <w:i/>
          <w:iCs/>
          <w:color w:val="595959"/>
          <w:sz w:val="18"/>
          <w:szCs w:val="18"/>
        </w:rPr>
        <w:t xml:space="preserve">科沃斯(603486) 盈利预测_F10_同花顺金融服务网 — https://basic.10jqka.com.cn/144/603486/worth.html</w:t>
      </w:r>
    </w:p>
    <w:p>
      <w:pPr>
        <w:spacing w:after="200"/>
      </w:pPr>
      <w:r>
        <w:rPr>
          <w:i/>
          <w:iCs/>
          <w:color w:val="595959"/>
          <w:sz w:val="18"/>
          <w:szCs w:val="18"/>
        </w:rPr>
        <w:t xml:space="preserve">科沃斯(603486)2026年半年报点评：外销高增延续 盈利受汇兑及一次性因素扰动__新浪财经_新浪网 — https://stock.finance.sina.com.cn/stock/go.php/vReport_Show/kind/search/rptid/841216380915/index.phtml</w:t>
      </w:r>
    </w:p>
    <w:p>
      <w:pPr>
        <w:spacing w:after="200"/>
      </w:pPr>
      <w:r>
        <w:rPr>
          <w:i/>
          <w:iCs/>
          <w:color w:val="595959"/>
          <w:sz w:val="18"/>
          <w:szCs w:val="18"/>
        </w:rPr>
        <w:t xml:space="preserve">国投证券-科沃斯(603486)外销快速增长，公允价值变动收益增厚利润-260823 — https://www.nxny.com/report/view_6456517.html?utm_source=openai</w:t>
      </w:r>
    </w:p>
    <w:p>
      <w:pPr>
        <w:spacing w:after="200"/>
      </w:pPr>
      <w:r>
        <w:rPr>
          <w:i/>
          <w:iCs/>
          <w:color w:val="595959"/>
          <w:sz w:val="18"/>
          <w:szCs w:val="18"/>
        </w:rPr>
        <w:t xml:space="preserve">科沃斯(603486)机构预测_证券之星 — https://stock.quote.stockstar.com/finance/predict_603486.shtml?utm_source=openai</w:t>
      </w:r>
    </w:p>
    <w:p>
      <w:pPr>
        <w:spacing w:after="200"/>
      </w:pPr>
      <w:r>
        <w:rPr>
          <w:i/>
          <w:iCs/>
          <w:color w:val="595959"/>
          <w:sz w:val="18"/>
          <w:szCs w:val="18"/>
        </w:rPr>
        <w:t xml:space="preserve">Ecovacs Robotics Co Ltd (603486)歷史價格 - Investing.com — https://hk.investing.com/equities/ecovacs-robotics-historical-data?utm_source=openai</w:t>
      </w:r>
    </w:p>
    <w:p>
      <w:pPr>
        <w:spacing w:after="200"/>
      </w:pPr>
      <w:r>
        <w:rPr>
          <w:i/>
          <w:iCs/>
          <w:color w:val="595959"/>
          <w:sz w:val="18"/>
          <w:szCs w:val="18"/>
        </w:rPr>
        <w:t xml:space="preserve">科沃斯(603486)股票最新价格行情,实时走势图,股价分析预测_英为财情Investing.com — https://cn.investing.com/equities/ecovacs-robotics?utm_source=openai</w:t>
      </w:r>
    </w:p>
    <w:p>
      <w:pPr>
        <w:spacing w:after="200"/>
      </w:pPr>
      <w:r>
        <w:rPr>
          <w:i/>
          <w:iCs/>
          <w:color w:val="595959"/>
          <w:sz w:val="18"/>
          <w:szCs w:val="18"/>
        </w:rPr>
        <w:t xml:space="preserve">科沃斯(603486)市盈率|估值|基本面 - 理杏仁 — https://www.lixinger.com/equity/company/detail/sh/603486/603486/fundamental/valuation/pe-ttm?utm_source=openai</w:t>
      </w:r>
    </w:p>
    <w:p>
      <w:pPr>
        <w:spacing w:after="200"/>
      </w:pPr>
      <w:r>
        <w:rPr>
          <w:i/>
          <w:iCs/>
          <w:color w:val="595959"/>
          <w:sz w:val="18"/>
          <w:szCs w:val="18"/>
        </w:rPr>
        <w:t xml:space="preserve">科沃斯(603486)_公司公告_科沃斯：2026年半年度报告新浪财经_新浪网 — https://vip.stock.finance.sina.com.cn/corp/view/vCB_AllBulletinDetail.php?id=12519158&amp;stockid=603486&amp;utm_source=openai</w:t>
      </w:r>
    </w:p>
    <w:p>
      <w:pPr>
        <w:spacing w:after="200"/>
      </w:pPr>
      <w:r>
        <w:rPr>
          <w:i/>
          <w:iCs/>
          <w:color w:val="595959"/>
          <w:sz w:val="18"/>
          <w:szCs w:val="18"/>
        </w:rPr>
        <w:t xml:space="preserve">科沃斯：完成注销76498份股票期权 _ 东方财富网 — https://finance.eastmoney.com/a/202609103870114432.html?utm_source=openai</w:t>
      </w:r>
    </w:p>
    <w:p>
      <w:pPr>
        <w:spacing w:after="200"/>
      </w:pPr>
      <w:r>
        <w:rPr>
          <w:i/>
          <w:iCs/>
          <w:color w:val="595959"/>
          <w:sz w:val="18"/>
          <w:szCs w:val="18"/>
        </w:rPr>
        <w:t xml:space="preserve">科沃斯(603486)_重大事项提醒与新闻公告_投资提醒_新浪财经_新浪网 — https://vip.stock.finance.sina.com.cn/corp/view/vCB_AllMemordDetail.php?stockid=603486&amp;utm_source=openai</w:t>
      </w:r>
    </w:p>
    <w:p>
      <w:pPr>
        <w:spacing w:after="200"/>
      </w:pPr>
      <w:r>
        <w:rPr>
          <w:i/>
          <w:iCs/>
          <w:color w:val="595959"/>
          <w:sz w:val="18"/>
          <w:szCs w:val="18"/>
        </w:rPr>
        <w:t xml:space="preserve">中国证券报 - 科沃斯机器人股份有限公司关于不向下修正“科沃转债”转股价格的公告 — https://epaper.cs.com.cn/zgzqb/html/2026-08/11/nw.D110000zgzqb_20260811_1-B002.htm?utm_source=openai</w:t>
      </w:r>
    </w:p>
    <w:p>
      <w:pPr>
        <w:spacing w:after="200"/>
      </w:pPr>
      <w:r>
        <w:rPr>
          <w:i/>
          <w:iCs/>
          <w:color w:val="595959"/>
          <w:sz w:val="18"/>
          <w:szCs w:val="18"/>
        </w:rPr>
        <w:t xml:space="preserve">科沃斯(603486) - 重大事项备忘 - 股票行情中心 - 搜狐证券 — https://q.stock.sohu.com/cn/603486/bw.shtml?utm_source=openai</w:t>
      </w:r>
    </w:p>
    <w:p>
      <w:pPr>
        <w:spacing w:after="200"/>
      </w:pPr>
      <w:r>
        <w:rPr>
          <w:i/>
          <w:iCs/>
          <w:color w:val="595959"/>
          <w:sz w:val="18"/>
          <w:szCs w:val="18"/>
        </w:rPr>
        <w:t xml:space="preserve">科沃斯(603486)_公司公告_科沃斯：关于调整为全资子公司提供担保进展的公告新浪财经_新浪网 — https://vip.stock.finance.sina.com.cn/corp/view/vCB_AllBulletinDetail.php?id=12546510&amp;stockid=603486&amp;utm_source=openai</w:t>
      </w:r>
    </w:p>
    <w:p>
      <w:pPr>
        <w:spacing w:after="200"/>
      </w:pPr>
      <w:r>
        <w:rPr>
          <w:i/>
          <w:iCs/>
          <w:color w:val="595959"/>
          <w:sz w:val="18"/>
          <w:szCs w:val="18"/>
        </w:rPr>
        <w:t xml:space="preserve">科沃斯十大流通股东格局生变：北向资金增持，华夏中证机器人ETF等减持_新浪财经_新浪网 — https://finance.sina.com.cn/stock/aiassist/sdltgdbh/2026-08-22/doc-inipeimp6081557.shtml?utm_source=openai</w:t>
      </w:r>
    </w:p>
    <w:p>
      <w:pPr>
        <w:spacing w:after="200"/>
      </w:pPr>
      <w:r>
        <w:rPr>
          <w:i/>
          <w:iCs/>
          <w:color w:val="595959"/>
          <w:sz w:val="18"/>
          <w:szCs w:val="18"/>
        </w:rPr>
        <w:t xml:space="preserve">〖e公司观察〗上演全品类布局 服务机器人反向扩张边界 — https://egs.stcn.com/news/detail?id=2339803&amp;utm_source=openai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科沃斯(603486)_股票行情，行情首页_中财网 — https://quotewh.cfi.cn/quote.aspx?client=pc&amp;lm=same_gn&amp;stockid=61429&amp;utm_source=openai</w:t>
      </w:r>
    </w:p>
    <w:p>
      <w:pPr>
        <w:spacing w:after="200"/>
      </w:pPr>
      <w:r>
        <w:rPr>
          <w:i/>
          <w:iCs/>
          <w:color w:val="595959"/>
          <w:sz w:val="18"/>
          <w:szCs w:val="18"/>
        </w:rPr>
        <w:t xml:space="preserve">科沃斯(603486.SH) 股票行情_历史数据_主力资金 - 大波浪数据 — https://www.yyqyx.com/s/603486.SH</w:t>
      </w:r>
    </w:p>
    <w:p>
      <w:pPr>
        <w:spacing w:after="200"/>
      </w:pPr>
      <w:r>
        <w:rPr>
          <w:i/>
          <w:iCs/>
          <w:color w:val="595959"/>
          <w:sz w:val="18"/>
          <w:szCs w:val="18"/>
        </w:rPr>
        <w:t xml:space="preserve">科沃斯（603486.SH），股票股价，实时行情，新闻，财报数据 | 华盛通 — https://www.hstong.com/quotes/30000-603486-SH</w:t>
      </w:r>
    </w:p>
    <w:p>
      <w:pPr>
        <w:spacing w:after="200"/>
      </w:pPr>
      <w:r>
        <w:rPr>
          <w:i/>
          <w:iCs/>
          <w:color w:val="595959"/>
          <w:sz w:val="18"/>
          <w:szCs w:val="18"/>
        </w:rPr>
        <w:t xml:space="preserve">科沃斯 (603486) - 历史交易数据 | 打板客网 — https://dabanke.com/hangqing-603486.html</w:t>
      </w:r>
    </w:p>
    <w:p>
      <w:pPr>
        <w:spacing w:after="200"/>
      </w:pPr>
      <w:r>
        <w:rPr>
          <w:i/>
          <w:iCs/>
          <w:color w:val="595959"/>
          <w:sz w:val="18"/>
          <w:szCs w:val="18"/>
        </w:rPr>
        <w:t xml:space="preserve">科沃斯(603486) 股东研究_F10_同花顺金融服务网 — https://basic.10jqka.com.cn/603486/holder.html?utm_source=openai</w:t>
      </w:r>
    </w:p>
    <w:p>
      <w:pPr>
        <w:spacing w:after="200"/>
      </w:pPr>
      <w:r>
        <w:rPr>
          <w:i/>
          <w:iCs/>
          <w:color w:val="595959"/>
          <w:sz w:val="18"/>
          <w:szCs w:val="18"/>
        </w:rPr>
        <w:t xml:space="preserve">科沃斯（截止2026年6月30日）股东人数为52876户 环比增加9.53% — https://news.10jqka.com.cn/20260821/c679181739.shtml?utm_source=openai</w:t>
      </w:r>
    </w:p>
    <w:p>
      <w:pPr>
        <w:spacing w:after="200"/>
      </w:pPr>
      <w:r>
        <w:rPr>
          <w:i/>
          <w:iCs/>
          <w:color w:val="595959"/>
          <w:sz w:val="18"/>
          <w:szCs w:val="18"/>
        </w:rPr>
        <w:t xml:space="preserve">机构风向标 | 科沃斯(603486)2026年二季度已披露前十大机构持股比例合计下跌1.05个百分点 _ 东方财富网 — https://finance.eastmoney.com/a/202608223850095914.html?utm_source=openai</w:t>
      </w:r>
    </w:p>
    <w:p>
      <w:pPr>
        <w:spacing w:after="200"/>
      </w:pPr>
      <w:r>
        <w:rPr>
          <w:i/>
          <w:iCs/>
          <w:color w:val="595959"/>
          <w:sz w:val="18"/>
          <w:szCs w:val="18"/>
        </w:rPr>
        <w:t xml:space="preserve">本报告由AI基于公开渠道信息自动检索、整理并生成，信息截至 截至2026年9月11日收盘；技术指标主要截至2026年9月10日收盘，股东及机构持仓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2026-09-13T11:40:21.700Z</dcterms:created>
  <dcterms:modified xsi:type="dcterms:W3CDTF">2026-09-13T11:40:21.700Z</dcterms:modified>
</cp:coreProperties>
</file>

<file path=docProps/custom.xml><?xml version="1.0" encoding="utf-8"?>
<Properties xmlns="http://schemas.openxmlformats.org/officeDocument/2006/custom-properties" xmlns:vt="http://schemas.openxmlformats.org/officeDocument/2006/docPropsVTypes"/>
</file>