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掌阅科技 (603533)</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行业：数字阅读与短剧</w:t>
      </w:r>
    </w:p>
    <w:p>
      <w:pPr>
        <w:jc w:val="center"/>
      </w:pPr>
      <w:r>
        <w:rPr>
          <w:color w:val="595959"/>
          <w:sz w:val="22"/>
          <w:szCs w:val="22"/>
        </w:rPr>
        <w:t xml:space="preserve">报告日期：2026年10月13日</w:t>
      </w:r>
    </w:p>
    <w:p>
      <w:pPr>
        <w:jc w:val="center"/>
      </w:pPr>
      <w:r>
        <w:rPr>
          <w:color w:val="595959"/>
          <w:sz w:val="20"/>
          <w:szCs w:val="20"/>
        </w:rPr>
        <w:t xml:space="preserve">行情截至2026-10-12收盘</w:t>
      </w:r>
    </w:p>
    <w:p>
      <w:pPr>
        <w:spacing w:before="800"/>
        <w:jc w:val="center"/>
      </w:pPr>
      <w:r>
        <w:rPr>
          <w:i/>
          <w:iCs/>
          <w:color w:val="595959"/>
          <w:sz w:val="18"/>
          <w:szCs w:val="18"/>
        </w:rPr>
        <w:t xml:space="preserve">本报告基于公开信息由AI自动整理生成，仅供参考，不构成投资建议</w:t>
      </w:r>
    </w:p>
    <w:p>
      <w:r>
        <w:br w:type="page"/>
      </w:r>
    </w:p>
    <w:p>
      <w:pPr>
        <w:spacing w:after="160" w:line="300"/>
      </w:pPr>
      <w:r>
        <w:rPr>
          <w:b/>
          <w:bCs/>
          <w:color w:val="1F4E79"/>
          <w:sz w:val="22"/>
          <w:szCs w:val="22"/>
        </w:rPr>
        <w:t xml:space="preserve">核心结论：短剧扩张推动收入回升，但亏损未消、PB处历史高位，盈利兑现仍是关键</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3200"/>
        <w:gridCol w:w="6700"/>
      </w:tblGrid>
      <w:tr>
        <w:trPr>
          <w:tblHeader/>
        </w:trPr>
        <w:tc>
          <w:tcPr>
            <w:tcW w:type="dxa" w:w="3200"/>
            <w:shd w:fill="1F4E79" w:val="clear"/>
            <w:tcMar>
              <w:top w:type="dxa" w:w="80"/>
              <w:left w:type="dxa" w:w="100"/>
              <w:bottom w:type="dxa" w:w="80"/>
              <w:right w:type="dxa" w:w="100"/>
            </w:tcMar>
            <w:vAlign w:val="center"/>
          </w:tcPr>
          <w:p>
            <w:pPr>
              <w:jc w:val="center"/>
            </w:pPr>
            <w:r>
              <w:rPr>
                <w:b/>
                <w:bCs/>
                <w:color w:val="FFFFFF"/>
                <w:sz w:val="20"/>
                <w:szCs w:val="20"/>
              </w:rPr>
              <w:t xml:space="preserve">关键数据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200"/>
            <w:tcMar>
              <w:top w:type="dxa" w:w="80"/>
              <w:left w:type="dxa" w:w="100"/>
              <w:bottom w:type="dxa" w:w="80"/>
              <w:right w:type="dxa" w:w="100"/>
            </w:tcMar>
            <w:vAlign w:val="center"/>
          </w:tcPr>
          <w:p>
            <w:pPr>
              <w:jc w:val="left"/>
            </w:pPr>
            <w:r>
              <w:rPr>
                <w:b w:val="false"/>
                <w:bCs w:val="false"/>
                <w:color w:val="000000"/>
                <w:sz w:val="20"/>
                <w:szCs w:val="20"/>
              </w:rPr>
              <w:t xml:space="preserve">收盘价（当日涨跌幅）</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27.98元（+9.98%）</w:t>
            </w:r>
          </w:p>
        </w:tc>
      </w:tr>
      <w:tr>
        <w:tc>
          <w:tcPr>
            <w:tcW w:type="dxa" w:w="3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约122.80亿元</w:t>
            </w:r>
          </w:p>
        </w:tc>
      </w:tr>
      <w:tr>
        <w:tc>
          <w:tcPr>
            <w:tcW w:type="dxa" w:w="3200"/>
            <w:tcMar>
              <w:top w:type="dxa" w:w="80"/>
              <w:left w:type="dxa" w:w="100"/>
              <w:bottom w:type="dxa" w:w="80"/>
              <w:right w:type="dxa" w:w="100"/>
            </w:tcMar>
            <w:vAlign w:val="center"/>
          </w:tcPr>
          <w:p>
            <w:pPr>
              <w:jc w:val="left"/>
            </w:pPr>
            <w:r>
              <w:rPr>
                <w:b w:val="false"/>
                <w:bCs w:val="false"/>
                <w:color w:val="000000"/>
                <w:sz w:val="20"/>
                <w:szCs w:val="20"/>
              </w:rPr>
              <w:t xml:space="preserve">PE(TTM)</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亏损，不适用</w:t>
            </w:r>
          </w:p>
        </w:tc>
      </w:tr>
      <w:tr>
        <w:tc>
          <w:tcPr>
            <w:tcW w:type="dxa" w:w="3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PB(MRQ)</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5.39倍</w:t>
            </w:r>
          </w:p>
        </w:tc>
      </w:tr>
      <w:tr>
        <w:tc>
          <w:tcPr>
            <w:tcW w:type="dxa" w:w="3200"/>
            <w:tcMar>
              <w:top w:type="dxa" w:w="80"/>
              <w:left w:type="dxa" w:w="100"/>
              <w:bottom w:type="dxa" w:w="80"/>
              <w:right w:type="dxa" w:w="100"/>
            </w:tcMar>
            <w:vAlign w:val="center"/>
          </w:tcPr>
          <w:p>
            <w:pPr>
              <w:jc w:val="left"/>
            </w:pPr>
            <w:r>
              <w:rPr>
                <w:b w:val="false"/>
                <w:bCs w:val="false"/>
                <w:color w:val="000000"/>
                <w:sz w:val="20"/>
                <w:szCs w:val="20"/>
              </w:rPr>
              <w:t xml:space="preserve">52周区间</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17.62～37.62元</w:t>
            </w:r>
          </w:p>
        </w:tc>
      </w:tr>
      <w:tr>
        <w:tc>
          <w:tcPr>
            <w:tcW w:type="dxa" w:w="3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成交额/换手率</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20.97亿元／17.84%</w:t>
            </w:r>
          </w:p>
        </w:tc>
      </w:tr>
    </w:tbl>
    <w:p>
      <w:pPr>
        <w:spacing w:before="200"/>
      </w:pPr>
    </w:p>
    <w:p>
      <w:pPr>
        <w:spacing w:after="200"/>
      </w:pPr>
      <w:r>
        <w:rPr>
          <w:i/>
          <w:iCs/>
          <w:color w:val="595959"/>
          <w:sz w:val="18"/>
          <w:szCs w:val="18"/>
        </w:rPr>
        <w:t xml:space="preserve">行情数据截至：2026-10-12收盘</w:t>
      </w:r>
    </w:p>
    <w:p>
      <w:pPr>
        <w:pStyle w:val="Heading1"/>
        <w:pBdr>
          <w:bottom w:val="single" w:color="1F4E79" w:sz="6" w:space="4"/>
        </w:pBdr>
        <w:spacing w:after="160" w:before="360"/>
      </w:pPr>
      <w:r>
        <w:rPr>
          <w:b/>
          <w:bCs/>
          <w:color w:val="1F4E79"/>
          <w:sz w:val="30"/>
          <w:szCs w:val="30"/>
        </w:rPr>
        <w:t xml:space="preserve">一、投资要点</w:t>
      </w:r>
    </w:p>
    <w:p>
      <w:pPr>
        <w:pStyle w:val="ListParagraph"/>
        <w:numPr>
          <w:ilvl w:val="0"/>
          <w:numId w:val="2"/>
        </w:numPr>
        <w:spacing w:after="80" w:line="280"/>
      </w:pPr>
      <w:r>
        <w:rPr>
          <w:b/>
          <w:bCs/>
          <w:sz w:val="22"/>
          <w:szCs w:val="22"/>
        </w:rPr>
        <w:t xml:space="preserve">收入恢复增长，亏损明显收窄</w:t>
      </w:r>
      <w:r>
        <w:rPr>
          <w:sz w:val="22"/>
          <w:szCs w:val="22"/>
        </w:rPr>
        <w:t xml:space="preserve">：2026H1营收17.84亿元、同比增长16.89%，归母净亏损0.50亿元，同比改善68.69%；经营仍未扭亏。</w:t>
      </w:r>
    </w:p>
    <w:p>
      <w:pPr>
        <w:pStyle w:val="ListParagraph"/>
        <w:numPr>
          <w:ilvl w:val="0"/>
          <w:numId w:val="2"/>
        </w:numPr>
        <w:spacing w:after="80" w:line="280"/>
      </w:pPr>
      <w:r>
        <w:rPr>
          <w:b/>
          <w:bCs/>
          <w:sz w:val="22"/>
          <w:szCs w:val="22"/>
        </w:rPr>
        <w:t xml:space="preserve">短剧扩张接棒，阅读平台仍承压</w:t>
      </w:r>
      <w:r>
        <w:rPr>
          <w:sz w:val="22"/>
          <w:szCs w:val="22"/>
        </w:rPr>
        <w:t xml:space="preserve">：2025年衍生业务收入增长139.19%、占比57.20%；数字阅读收入下降23.73%。2026H1短剧等衍生业务占营收66.44%。</w:t>
      </w:r>
    </w:p>
    <w:p>
      <w:pPr>
        <w:pStyle w:val="ListParagraph"/>
        <w:numPr>
          <w:ilvl w:val="0"/>
          <w:numId w:val="2"/>
        </w:numPr>
        <w:spacing w:after="80" w:line="280"/>
      </w:pPr>
      <w:r>
        <w:rPr>
          <w:b/>
          <w:bCs/>
          <w:sz w:val="22"/>
          <w:szCs w:val="22"/>
        </w:rPr>
        <w:t xml:space="preserve">PB处历史高位，盈利估值暂不可用</w:t>
      </w:r>
      <w:r>
        <w:rPr>
          <w:sz w:val="22"/>
          <w:szCs w:val="22"/>
        </w:rPr>
        <w:t xml:space="preserve">：2026-10-12收盘27.98元，PE-TTM亏损不适用；PB 5.39倍、PS 3.51倍，分别处近5.2年99%和59%分位。</w:t>
      </w:r>
    </w:p>
    <w:p>
      <w:pPr>
        <w:pStyle w:val="Heading2"/>
        <w:spacing w:after="120" w:before="240"/>
      </w:pPr>
      <w:r>
        <w:rPr>
          <w:b/>
          <w:bCs/>
          <w:color w:val="2E74B5"/>
          <w:sz w:val="24"/>
          <w:szCs w:val="24"/>
        </w:rPr>
        <w:t xml:space="preserve">市场预期与证据</w:t>
      </w:r>
    </w:p>
    <w:p>
      <w:pPr>
        <w:pStyle w:val="ListParagraph"/>
        <w:numPr>
          <w:ilvl w:val="0"/>
          <w:numId w:val="2"/>
        </w:numPr>
        <w:spacing w:after="80" w:line="280"/>
      </w:pPr>
      <w:r>
        <w:rPr>
          <w:b/>
          <w:bCs/>
          <w:sz w:val="22"/>
          <w:szCs w:val="22"/>
        </w:rPr>
        <w:t xml:space="preserve">市场在定价</w:t>
      </w:r>
      <w:r>
        <w:rPr>
          <w:sz w:val="22"/>
          <w:szCs w:val="22"/>
        </w:rPr>
        <w:t xml:space="preserve">：股价定价侧重短剧扩张及未来扭亏；近六个月无机构一致盈利预测，估值数据也未给出市场隐含EPS增速，无法量化其与预期增速的差距。</w:t>
      </w:r>
    </w:p>
    <w:p>
      <w:pPr>
        <w:pStyle w:val="ListParagraph"/>
        <w:numPr>
          <w:ilvl w:val="0"/>
          <w:numId w:val="2"/>
        </w:numPr>
        <w:spacing w:after="80" w:line="280"/>
      </w:pPr>
      <w:r>
        <w:rPr>
          <w:b/>
          <w:bCs/>
          <w:sz w:val="22"/>
          <w:szCs w:val="22"/>
        </w:rPr>
        <w:t xml:space="preserve">证据显示</w:t>
      </w:r>
      <w:r>
        <w:rPr>
          <w:sz w:val="22"/>
          <w:szCs w:val="22"/>
        </w:rPr>
        <w:t xml:space="preserve">：2026H1收入增长、亏损收窄支持改善方向，但归母仍亏损、经营现金流为负；短剧收入占比提升，尚未证明收入增长已转化为持续盈利和正现金流。</w:t>
      </w:r>
    </w:p>
    <w:p>
      <w:pPr>
        <w:spacing w:after="160" w:line="300"/>
      </w:pPr>
      <w:r>
        <w:rPr>
          <w:b/>
          <w:bCs/>
          <w:color w:val="1F4E79"/>
          <w:sz w:val="22"/>
          <w:szCs w:val="22"/>
        </w:rPr>
        <w:t xml:space="preserve">证据倾向：证据不足；置信度：低（无机构盈利预测、部分论据存在期间或口径冲突，已屏蔽相关判断）</w:t>
      </w:r>
    </w:p>
    <w:p>
      <w:pPr>
        <w:spacing w:after="160" w:line="300"/>
      </w:pPr>
      <w:r>
        <w:rPr>
          <w:sz w:val="22"/>
          <w:szCs w:val="22"/>
        </w:rPr>
        <w:t xml:space="preserve">部分论据期间或口径未一致，相关比较已撤回。</w:t>
      </w:r>
    </w:p>
    <w:p>
      <w:pPr>
        <w:pStyle w:val="Heading1"/>
        <w:pBdr>
          <w:bottom w:val="single" w:color="1F4E79" w:sz="6" w:space="4"/>
        </w:pBdr>
        <w:spacing w:after="160" w:before="360"/>
      </w:pPr>
      <w:r>
        <w:rPr>
          <w:b/>
          <w:bCs/>
          <w:color w:val="1F4E79"/>
          <w:sz w:val="30"/>
          <w:szCs w:val="30"/>
        </w:rPr>
        <w:t xml:space="preserve">二、生意与竞争力</w:t>
      </w:r>
    </w:p>
    <w:p>
      <w:pPr>
        <w:pStyle w:val="Heading2"/>
        <w:spacing w:after="120" w:before="240"/>
      </w:pPr>
      <w:r>
        <w:rPr>
          <w:b/>
          <w:bCs/>
          <w:color w:val="2E74B5"/>
          <w:sz w:val="24"/>
          <w:szCs w:val="24"/>
        </w:rPr>
        <w:t xml:space="preserve">2.1 业务结构</w:t>
      </w:r>
    </w:p>
    <w:p>
      <w:pPr>
        <w:spacing w:after="160" w:line="300"/>
      </w:pPr>
      <w:r>
        <w:rPr>
          <w:sz w:val="22"/>
          <w:szCs w:val="22"/>
        </w:rPr>
        <w:t xml:space="preserve">通过数字阅读平台向用户提供付费阅读和流量商业化服务，并以版权运营、短剧等衍生内容制作运营实现变现。</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000"/>
        <w:gridCol w:w="1400"/>
        <w:gridCol w:w="1300"/>
        <w:gridCol w:w="1400"/>
        <w:gridCol w:w="3800"/>
      </w:tblGrid>
      <w:tr>
        <w:trPr>
          <w:tblHeader/>
        </w:trPr>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业务板块</w:t>
            </w:r>
          </w:p>
        </w:tc>
        <w:tc>
          <w:tcPr>
            <w:tcW w:type="dxa" w:w="1400"/>
            <w:shd w:fill="1F4E79" w:val="clear"/>
            <w:tcMar>
              <w:top w:type="dxa" w:w="80"/>
              <w:left w:type="dxa" w:w="100"/>
              <w:bottom w:type="dxa" w:w="80"/>
              <w:right w:type="dxa" w:w="100"/>
            </w:tcMar>
            <w:vAlign w:val="center"/>
          </w:tcPr>
          <w:p>
            <w:pPr>
              <w:jc w:val="center"/>
            </w:pPr>
            <w:r>
              <w:rPr>
                <w:b/>
                <w:bCs/>
                <w:color w:val="FFFFFF"/>
                <w:sz w:val="20"/>
                <w:szCs w:val="20"/>
              </w:rPr>
              <w:t xml:space="preserve">收入占比</w:t>
            </w:r>
          </w:p>
        </w:tc>
        <w:tc>
          <w:tcPr>
            <w:tcW w:type="dxa" w:w="13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1400"/>
            <w:shd w:fill="1F4E79" w:val="clear"/>
            <w:tcMar>
              <w:top w:type="dxa" w:w="80"/>
              <w:left w:type="dxa" w:w="100"/>
              <w:bottom w:type="dxa" w:w="80"/>
              <w:right w:type="dxa" w:w="100"/>
            </w:tcMar>
            <w:vAlign w:val="center"/>
          </w:tcPr>
          <w:p>
            <w:pPr>
              <w:jc w:val="center"/>
            </w:pPr>
            <w:r>
              <w:rPr>
                <w:b/>
                <w:bCs/>
                <w:color w:val="FFFFFF"/>
                <w:sz w:val="20"/>
                <w:szCs w:val="20"/>
              </w:rPr>
              <w:t xml:space="preserve">收入增速</w:t>
            </w:r>
          </w:p>
        </w:tc>
        <w:tc>
          <w:tcPr>
            <w:tcW w:type="dxa" w:w="3800"/>
            <w:shd w:fill="1F4E79" w:val="clear"/>
            <w:tcMar>
              <w:top w:type="dxa" w:w="80"/>
              <w:left w:type="dxa" w:w="100"/>
              <w:bottom w:type="dxa" w:w="80"/>
              <w:right w:type="dxa" w:w="100"/>
            </w:tcMar>
            <w:vAlign w:val="center"/>
          </w:tcPr>
          <w:p>
            <w:pPr>
              <w:jc w:val="center"/>
            </w:pPr>
            <w:r>
              <w:rPr>
                <w:b/>
                <w:bCs/>
                <w:color w:val="FFFFFF"/>
                <w:sz w:val="20"/>
                <w:szCs w:val="20"/>
              </w:rPr>
              <w:t xml:space="preserve">要点</w:t>
            </w:r>
          </w:p>
        </w:tc>
      </w:tr>
      <w:tr>
        <w:tc>
          <w:tcPr>
            <w:tcW w:type="dxa" w:w="2000"/>
            <w:tcMar>
              <w:top w:type="dxa" w:w="80"/>
              <w:left w:type="dxa" w:w="100"/>
              <w:bottom w:type="dxa" w:w="80"/>
              <w:right w:type="dxa" w:w="100"/>
            </w:tcMar>
            <w:vAlign w:val="center"/>
          </w:tcPr>
          <w:p>
            <w:pPr>
              <w:jc w:val="left"/>
            </w:pPr>
            <w:r>
              <w:rPr>
                <w:b w:val="false"/>
                <w:bCs w:val="false"/>
                <w:color w:val="000000"/>
                <w:sz w:val="20"/>
                <w:szCs w:val="20"/>
              </w:rPr>
              <w:t xml:space="preserve">衍生业务（含短剧等）</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57.20%（2025年）</w:t>
            </w:r>
          </w:p>
        </w:tc>
        <w:tc>
          <w:tcPr>
            <w:tcW w:type="dxa" w:w="1300"/>
            <w:tcMar>
              <w:top w:type="dxa" w:w="80"/>
              <w:left w:type="dxa" w:w="100"/>
              <w:bottom w:type="dxa" w:w="80"/>
              <w:right w:type="dxa" w:w="100"/>
            </w:tcMar>
            <w:vAlign w:val="center"/>
          </w:tcPr>
          <w:p>
            <w:pPr>
              <w:jc w:val="center"/>
            </w:pPr>
            <w:r>
              <w:rPr>
                <w:b w:val="false"/>
                <w:bCs w:val="false"/>
                <w:color w:val="000000"/>
                <w:sz w:val="20"/>
                <w:szCs w:val="20"/>
              </w:rPr>
              <w:t xml:space="preserve">68.00%（2025年）</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+139.19%（2025年同比）</w:t>
            </w:r>
          </w:p>
        </w:tc>
        <w:tc>
          <w:tcPr>
            <w:tcW w:type="dxa" w:w="3800"/>
            <w:tcMar>
              <w:top w:type="dxa" w:w="80"/>
              <w:left w:type="dxa" w:w="100"/>
              <w:bottom w:type="dxa" w:w="80"/>
              <w:right w:type="dxa" w:w="100"/>
            </w:tcMar>
            <w:vAlign w:val="center"/>
          </w:tcPr>
          <w:p>
            <w:pPr>
              <w:jc w:val="center"/>
            </w:pPr>
            <w:r>
              <w:rPr>
                <w:b w:val="false"/>
                <w:bCs w:val="false"/>
                <w:color w:val="000000"/>
                <w:sz w:val="20"/>
                <w:szCs w:val="20"/>
              </w:rPr>
              <w:t xml:space="preserve">收入增长主要由短剧等业务扩产推动</w:t>
            </w:r>
          </w:p>
        </w:tc>
      </w:tr>
      <w:tr>
        <w:tc>
          <w:tcPr>
            <w:tcW w:type="dxa" w:w="2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数字阅读平台</w:t>
            </w:r>
          </w:p>
        </w:tc>
        <w:tc>
          <w:tcPr>
            <w:tcW w:type="dxa" w:w="1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38.73%（2025年）</w:t>
            </w:r>
          </w:p>
        </w:tc>
        <w:tc>
          <w:tcPr>
            <w:tcW w:type="dxa" w:w="13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70.92%（2025年）</w:t>
            </w:r>
          </w:p>
        </w:tc>
        <w:tc>
          <w:tcPr>
            <w:tcW w:type="dxa" w:w="1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-23.73%（2025年同比）</w:t>
            </w:r>
          </w:p>
        </w:tc>
        <w:tc>
          <w:tcPr>
            <w:tcW w:type="dxa" w:w="3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收入下滑，毛利率同比下降9.05个百分点</w:t>
            </w:r>
          </w:p>
        </w:tc>
      </w:tr>
      <w:tr>
        <w:tc>
          <w:tcPr>
            <w:tcW w:type="dxa" w:w="2000"/>
            <w:tcMar>
              <w:top w:type="dxa" w:w="80"/>
              <w:left w:type="dxa" w:w="100"/>
              <w:bottom w:type="dxa" w:w="80"/>
              <w:right w:type="dxa" w:w="100"/>
            </w:tcMar>
            <w:vAlign w:val="center"/>
          </w:tcPr>
          <w:p>
            <w:pPr>
              <w:jc w:val="left"/>
            </w:pPr>
            <w:r>
              <w:rPr>
                <w:b w:val="false"/>
                <w:bCs w:val="false"/>
                <w:color w:val="000000"/>
                <w:sz w:val="20"/>
                <w:szCs w:val="20"/>
              </w:rPr>
              <w:t xml:space="preserve">版权产品</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3.96%（2025年）</w:t>
            </w:r>
          </w:p>
        </w:tc>
        <w:tc>
          <w:tcPr>
            <w:tcW w:type="dxa" w:w="1300"/>
            <w:tcMar>
              <w:top w:type="dxa" w:w="80"/>
              <w:left w:type="dxa" w:w="100"/>
              <w:bottom w:type="dxa" w:w="80"/>
              <w:right w:type="dxa" w:w="100"/>
            </w:tcMar>
            <w:vAlign w:val="center"/>
          </w:tcPr>
          <w:p>
            <w:pPr>
              <w:jc w:val="center"/>
            </w:pPr>
            <w:r>
              <w:rPr>
                <w:b w:val="false"/>
                <w:bCs w:val="false"/>
                <w:color w:val="000000"/>
                <w:sz w:val="20"/>
                <w:szCs w:val="20"/>
              </w:rPr>
              <w:t xml:space="preserve">68.69%（2025年）</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-18.70%（2025年同比）</w:t>
            </w:r>
          </w:p>
        </w:tc>
        <w:tc>
          <w:tcPr>
            <w:tcW w:type="dxa" w:w="3800"/>
            <w:tcMar>
              <w:top w:type="dxa" w:w="80"/>
              <w:left w:type="dxa" w:w="100"/>
              <w:bottom w:type="dxa" w:w="80"/>
              <w:right w:type="dxa" w:w="100"/>
            </w:tcMar>
            <w:vAlign w:val="center"/>
          </w:tcPr>
          <w:p>
            <w:pPr>
              <w:jc w:val="center"/>
            </w:pPr>
            <w:r>
              <w:rPr>
                <w:b w:val="false"/>
                <w:bCs w:val="false"/>
                <w:color w:val="000000"/>
                <w:sz w:val="20"/>
                <w:szCs w:val="20"/>
              </w:rPr>
              <w:t xml:space="preserve">向文化娱乐客户输出原创网络文学版权</w:t>
            </w:r>
          </w:p>
        </w:tc>
      </w:tr>
      <w:tr>
        <w:tc>
          <w:tcPr>
            <w:tcW w:type="dxa" w:w="2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其他</w:t>
            </w:r>
          </w:p>
        </w:tc>
        <w:tc>
          <w:tcPr>
            <w:tcW w:type="dxa" w:w="1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约0.10%（2025年）</w:t>
            </w:r>
          </w:p>
        </w:tc>
        <w:tc>
          <w:tcPr>
            <w:tcW w:type="dxa" w:w="13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9.10%（2025年）</w:t>
            </w:r>
          </w:p>
        </w:tc>
        <w:tc>
          <w:tcPr>
            <w:tcW w:type="dxa" w:w="1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+11.01%（2025年同比）</w:t>
            </w:r>
          </w:p>
        </w:tc>
        <w:tc>
          <w:tcPr>
            <w:tcW w:type="dxa" w:w="3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收入占比很低</w:t>
            </w:r>
          </w:p>
        </w:tc>
      </w:tr>
    </w:tbl>
    <w:p>
      <w:pPr>
        <w:spacing w:before="200"/>
      </w:pPr>
    </w:p>
    <w:p>
      <w:pPr>
        <w:pStyle w:val="Heading2"/>
        <w:spacing w:after="120" w:before="240"/>
      </w:pPr>
      <w:r>
        <w:rPr>
          <w:b/>
          <w:bCs/>
          <w:color w:val="2E74B5"/>
          <w:sz w:val="24"/>
          <w:szCs w:val="24"/>
        </w:rPr>
        <w:t xml:space="preserve">2.2 竞争优势</w:t>
      </w:r>
    </w:p>
    <w:p>
      <w:pPr>
        <w:spacing w:after="160" w:line="300"/>
      </w:pPr>
      <w:r>
        <w:rPr>
          <w:b/>
          <w:bCs/>
          <w:color w:val="1F4E79"/>
          <w:sz w:val="22"/>
          <w:szCs w:val="22"/>
        </w:rPr>
        <w:t xml:space="preserve">竞争优势强度：不明显</w:t>
      </w:r>
    </w:p>
    <w:p>
      <w:pPr>
        <w:pStyle w:val="ListParagraph"/>
        <w:numPr>
          <w:ilvl w:val="0"/>
          <w:numId w:val="2"/>
        </w:numPr>
        <w:spacing w:after="80" w:line="280"/>
      </w:pPr>
      <w:r>
        <w:rPr>
          <w:sz w:val="22"/>
          <w:szCs w:val="22"/>
        </w:rPr>
        <w:t xml:space="preserve">掌阅、得间平台及内容/IP资源可支持阅读与衍生业务协同；用户规模、留存率及IP库估值未量化披露</w:t>
      </w:r>
    </w:p>
    <w:p>
      <w:pPr>
        <w:pStyle w:val="ListParagraph"/>
        <w:numPr>
          <w:ilvl w:val="0"/>
          <w:numId w:val="2"/>
        </w:numPr>
        <w:spacing w:after="80" w:line="280"/>
      </w:pPr>
      <w:r>
        <w:rPr>
          <w:sz w:val="22"/>
          <w:szCs w:val="22"/>
        </w:rPr>
        <w:t xml:space="preserve">2025年上线800余部剧集；短剧市场份额和行业排名缺乏同口径独立验证</w:t>
      </w:r>
    </w:p>
    <w:p>
      <w:pPr>
        <w:pStyle w:val="ListParagraph"/>
        <w:numPr>
          <w:ilvl w:val="0"/>
          <w:numId w:val="2"/>
        </w:numPr>
        <w:spacing w:after="80" w:line="280"/>
      </w:pPr>
      <w:r>
        <w:rPr>
          <w:sz w:val="22"/>
          <w:szCs w:val="22"/>
        </w:rPr>
        <w:t xml:space="preserve">数字阅读平台2025年毛利率70.92%，但收入同比下降23.73%，毛利率下降9.05个百分点</w:t>
      </w:r>
    </w:p>
    <w:p>
      <w:pPr>
        <w:spacing w:after="160" w:line="300"/>
      </w:pPr>
      <w:r>
        <w:rPr>
          <w:sz w:val="22"/>
          <w:szCs w:val="22"/>
        </w:rPr>
        <w:t xml:space="preserve">主要威胁：短剧供给密集且热度、投放回报波动；获客与内容成本上升可能侵蚀利润，数字阅读收入仍在下滑。</w:t>
      </w:r>
    </w:p>
    <w:p>
      <w:pPr>
        <w:pStyle w:val="Heading2"/>
        <w:spacing w:after="120" w:before="240"/>
      </w:pPr>
      <w:r>
        <w:rPr>
          <w:b/>
          <w:bCs/>
          <w:color w:val="2E74B5"/>
          <w:sz w:val="24"/>
          <w:szCs w:val="24"/>
        </w:rPr>
        <w:t xml:space="preserve">2.3 产业链位置与盈利趋势</w:t>
      </w:r>
    </w:p>
    <w:p>
      <w:pPr>
        <w:pStyle w:val="ListParagraph"/>
        <w:numPr>
          <w:ilvl w:val="0"/>
          <w:numId w:val="2"/>
        </w:numPr>
        <w:spacing w:after="80" w:line="280"/>
      </w:pPr>
      <w:r>
        <w:rPr>
          <w:sz w:val="22"/>
          <w:szCs w:val="22"/>
        </w:rPr>
        <w:t xml:space="preserve">主要采购版权及内容制作服务、渠道服务、推广投放和服务器托管；数字阅读渠道成本同比增长176.86%，衍生业务内容成本增长252.36%。</w:t>
      </w:r>
    </w:p>
    <w:p>
      <w:pPr>
        <w:pStyle w:val="ListParagraph"/>
        <w:numPr>
          <w:ilvl w:val="0"/>
          <w:numId w:val="2"/>
        </w:numPr>
        <w:spacing w:after="80" w:line="280"/>
      </w:pPr>
      <w:r>
        <w:rPr>
          <w:sz w:val="22"/>
          <w:szCs w:val="22"/>
        </w:rPr>
        <w:t xml:space="preserve">2025年采购前五名合计占采购额49.72%，第一名占18.23%；供应商未具名，暂无证据显示公司对上游普遍拥有定价权。</w:t>
      </w:r>
    </w:p>
    <w:p>
      <w:pPr>
        <w:pStyle w:val="ListParagraph"/>
        <w:numPr>
          <w:ilvl w:val="0"/>
          <w:numId w:val="2"/>
        </w:numPr>
        <w:spacing w:after="80" w:line="280"/>
      </w:pPr>
      <w:r>
        <w:rPr>
          <w:sz w:val="22"/>
          <w:szCs w:val="22"/>
        </w:rPr>
        <w:t xml:space="preserve">数字阅读直接面向用户，通过充值付费及流量商业化变现；短剧和版权业务面向内容分发、广告商业化及文化娱乐合作方。</w:t>
      </w:r>
    </w:p>
    <w:p>
      <w:pPr>
        <w:pStyle w:val="ListParagraph"/>
        <w:numPr>
          <w:ilvl w:val="0"/>
          <w:numId w:val="2"/>
        </w:numPr>
        <w:spacing w:after="80" w:line="280"/>
      </w:pPr>
      <w:r>
        <w:rPr>
          <w:sz w:val="22"/>
          <w:szCs w:val="22"/>
        </w:rPr>
        <w:t xml:space="preserve">定价与变现受渠道规则、内容吸引力和投放回报影响；公司未披露普遍提价能力或可持续终端定价权。</w:t>
      </w:r>
    </w:p>
    <w:p>
      <w:pPr>
        <w:pStyle w:val="ListParagraph"/>
        <w:numPr>
          <w:ilvl w:val="0"/>
          <w:numId w:val="2"/>
        </w:numPr>
        <w:spacing w:after="80" w:line="280"/>
      </w:pPr>
      <w:r>
        <w:rPr>
          <w:sz w:val="22"/>
          <w:szCs w:val="22"/>
        </w:rPr>
        <w:t xml:space="preserve">2025年报披露前五大客户销售占比47.80%，关联方占38.26%；仅有年度合计口径，客户具体业务与定价条款未明。</w:t>
      </w:r>
    </w:p>
    <w:p>
      <w:pPr>
        <w:pStyle w:val="ListParagraph"/>
        <w:numPr>
          <w:ilvl w:val="0"/>
          <w:numId w:val="2"/>
        </w:numPr>
        <w:spacing w:after="80" w:line="280"/>
      </w:pPr>
      <w:r>
        <w:rPr>
          <w:sz w:val="22"/>
          <w:szCs w:val="22"/>
        </w:rPr>
        <w:t xml:space="preserve">2025年末应收账款3.42亿元，约为全年收入10.6%，估算周转约35天；应付账款2.56亿元，经营现金流净额-2.33亿元。</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1800"/>
        <w:gridCol w:w="1800"/>
        <w:gridCol w:w="48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800"/>
            <w:shd w:fill="1F4E79" w:val="clear"/>
            <w:tcMar>
              <w:top w:type="dxa" w:w="80"/>
              <w:left w:type="dxa" w:w="100"/>
              <w:bottom w:type="dxa" w:w="80"/>
              <w:right w:type="dxa" w:w="100"/>
            </w:tcMar>
            <w:vAlign w:val="center"/>
          </w:tcPr>
          <w:p>
            <w:pPr>
              <w:jc w:val="center"/>
            </w:pPr>
            <w:r>
              <w:rPr>
                <w:b/>
                <w:bCs/>
                <w:color w:val="FFFFFF"/>
                <w:sz w:val="20"/>
                <w:szCs w:val="20"/>
              </w:rPr>
              <w:t xml:space="preserve">变动原因</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w:t>
            </w:r>
          </w:p>
        </w:tc>
        <w:tc>
          <w:tcPr>
            <w:tcW w:type="dxa" w:w="1800"/>
            <w:tcMar>
              <w:top w:type="dxa" w:w="80"/>
              <w:left w:type="dxa" w:w="100"/>
              <w:bottom w:type="dxa" w:w="80"/>
              <w:right w:type="dxa" w:w="100"/>
            </w:tcMar>
            <w:vAlign w:val="center"/>
          </w:tcPr>
          <w:p>
            <w:pPr>
              <w:jc w:val="center"/>
            </w:pPr>
            <w:r>
              <w:rPr>
                <w:b w:val="false"/>
                <w:bCs w:val="false"/>
                <w:color w:val="000000"/>
                <w:sz w:val="20"/>
                <w:szCs w:val="20"/>
              </w:rPr>
              <w:t xml:space="preserve">52.50%</w:t>
            </w:r>
          </w:p>
        </w:tc>
        <w:tc>
          <w:tcPr>
            <w:tcW w:type="dxa" w:w="1800"/>
            <w:tcMar>
              <w:top w:type="dxa" w:w="80"/>
              <w:left w:type="dxa" w:w="100"/>
              <w:bottom w:type="dxa" w:w="80"/>
              <w:right w:type="dxa" w:w="100"/>
            </w:tcMar>
            <w:vAlign w:val="center"/>
          </w:tcPr>
          <w:p>
            <w:pPr>
              <w:jc w:val="center"/>
            </w:pPr>
            <w:r>
              <w:rPr>
                <w:b w:val="false"/>
                <w:bCs w:val="false"/>
                <w:color w:val="000000"/>
                <w:sz w:val="20"/>
                <w:szCs w:val="20"/>
              </w:rPr>
              <w:t xml:space="preserve">7.27%</w:t>
            </w:r>
          </w:p>
        </w:tc>
        <w:tc>
          <w:tcPr>
            <w:tcW w:type="dxa" w:w="4800"/>
            <w:tcMar>
              <w:top w:type="dxa" w:w="80"/>
              <w:left w:type="dxa" w:w="100"/>
              <w:bottom w:type="dxa" w:w="80"/>
              <w:right w:type="dxa" w:w="100"/>
            </w:tcMar>
            <w:vAlign w:val="center"/>
          </w:tcPr>
          <w:p>
            <w:pPr>
              <w:jc w:val="center"/>
            </w:pPr>
            <w:r>
              <w:rPr>
                <w:b w:val="false"/>
                <w:bCs w:val="false"/>
                <w:color w:val="000000"/>
                <w:sz w:val="20"/>
                <w:szCs w:val="20"/>
              </w:rPr>
              <w:t xml:space="preserve">免费阅读增长，后续毛利率跃升尚未出现</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w:t>
            </w:r>
          </w:p>
        </w:tc>
        <w:tc>
          <w:tcPr>
            <w:tcW w:type="dxa" w:w="1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73.10%</w:t>
            </w:r>
          </w:p>
        </w:tc>
        <w:tc>
          <w:tcPr>
            <w:tcW w:type="dxa" w:w="1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2.23%</w:t>
            </w:r>
          </w:p>
        </w:tc>
        <w:tc>
          <w:tcPr>
            <w:tcW w:type="dxa" w:w="4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业务结构及渠道成本优化；销售费用同比增长124.81%</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w:t>
            </w:r>
          </w:p>
        </w:tc>
        <w:tc>
          <w:tcPr>
            <w:tcW w:type="dxa" w:w="1800"/>
            <w:tcMar>
              <w:top w:type="dxa" w:w="80"/>
              <w:left w:type="dxa" w:w="100"/>
              <w:bottom w:type="dxa" w:w="80"/>
              <w:right w:type="dxa" w:w="100"/>
            </w:tcMar>
            <w:vAlign w:val="center"/>
          </w:tcPr>
          <w:p>
            <w:pPr>
              <w:jc w:val="center"/>
            </w:pPr>
            <w:r>
              <w:rPr>
                <w:b w:val="false"/>
                <w:bCs w:val="false"/>
                <w:color w:val="000000"/>
                <w:sz w:val="20"/>
                <w:szCs w:val="20"/>
              </w:rPr>
              <w:t xml:space="preserve">74.80%</w:t>
            </w:r>
          </w:p>
        </w:tc>
        <w:tc>
          <w:tcPr>
            <w:tcW w:type="dxa" w:w="1800"/>
            <w:tcMar>
              <w:top w:type="dxa" w:w="80"/>
              <w:left w:type="dxa" w:w="100"/>
              <w:bottom w:type="dxa" w:w="80"/>
              <w:right w:type="dxa" w:w="100"/>
            </w:tcMar>
            <w:vAlign w:val="center"/>
          </w:tcPr>
          <w:p>
            <w:pPr>
              <w:jc w:val="center"/>
            </w:pPr>
            <w:r>
              <w:rPr>
                <w:b w:val="false"/>
                <w:bCs w:val="false"/>
                <w:color w:val="000000"/>
                <w:sz w:val="20"/>
                <w:szCs w:val="20"/>
              </w:rPr>
              <w:t xml:space="preserve">1.25%</w:t>
            </w:r>
          </w:p>
        </w:tc>
        <w:tc>
          <w:tcPr>
            <w:tcW w:type="dxa" w:w="4800"/>
            <w:tcMar>
              <w:top w:type="dxa" w:w="80"/>
              <w:left w:type="dxa" w:w="100"/>
              <w:bottom w:type="dxa" w:w="80"/>
              <w:right w:type="dxa" w:w="100"/>
            </w:tcMar>
            <w:vAlign w:val="center"/>
          </w:tcPr>
          <w:p>
            <w:pPr>
              <w:jc w:val="center"/>
            </w:pPr>
            <w:r>
              <w:rPr>
                <w:b w:val="false"/>
                <w:bCs w:val="false"/>
                <w:color w:val="000000"/>
                <w:sz w:val="20"/>
                <w:szCs w:val="20"/>
              </w:rPr>
              <w:t xml:space="preserve">毛利率维持高位，销售及管理费用负担压低净利率</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w:t>
            </w:r>
          </w:p>
        </w:tc>
        <w:tc>
          <w:tcPr>
            <w:tcW w:type="dxa" w:w="1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73.38%</w:t>
            </w:r>
          </w:p>
        </w:tc>
        <w:tc>
          <w:tcPr>
            <w:tcW w:type="dxa" w:w="1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1.91%</w:t>
            </w:r>
          </w:p>
        </w:tc>
        <w:tc>
          <w:tcPr>
            <w:tcW w:type="dxa" w:w="4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阅读及版权收入下降，成本和销售费用回落</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w:t>
            </w:r>
          </w:p>
        </w:tc>
        <w:tc>
          <w:tcPr>
            <w:tcW w:type="dxa" w:w="1800"/>
            <w:tcMar>
              <w:top w:type="dxa" w:w="80"/>
              <w:left w:type="dxa" w:w="100"/>
              <w:bottom w:type="dxa" w:w="80"/>
              <w:right w:type="dxa" w:w="100"/>
            </w:tcMar>
            <w:vAlign w:val="center"/>
          </w:tcPr>
          <w:p>
            <w:pPr>
              <w:jc w:val="center"/>
            </w:pPr>
            <w:r>
              <w:rPr>
                <w:b w:val="false"/>
                <w:bCs w:val="false"/>
                <w:color w:val="000000"/>
                <w:sz w:val="20"/>
                <w:szCs w:val="20"/>
              </w:rPr>
              <w:t xml:space="preserve">69.10%</w:t>
            </w:r>
          </w:p>
        </w:tc>
        <w:tc>
          <w:tcPr>
            <w:tcW w:type="dxa" w:w="1800"/>
            <w:tcMar>
              <w:top w:type="dxa" w:w="80"/>
              <w:left w:type="dxa" w:w="100"/>
              <w:bottom w:type="dxa" w:w="80"/>
              <w:right w:type="dxa" w:w="100"/>
            </w:tcMar>
            <w:vAlign w:val="center"/>
          </w:tcPr>
          <w:p>
            <w:pPr>
              <w:jc w:val="center"/>
            </w:pPr>
            <w:r>
              <w:rPr>
                <w:b w:val="false"/>
                <w:bCs w:val="false"/>
                <w:color w:val="000000"/>
                <w:sz w:val="20"/>
                <w:szCs w:val="20"/>
              </w:rPr>
              <w:t xml:space="preserve">-5.44%</w:t>
            </w:r>
          </w:p>
        </w:tc>
        <w:tc>
          <w:tcPr>
            <w:tcW w:type="dxa" w:w="4800"/>
            <w:tcMar>
              <w:top w:type="dxa" w:w="80"/>
              <w:left w:type="dxa" w:w="100"/>
              <w:bottom w:type="dxa" w:w="80"/>
              <w:right w:type="dxa" w:w="100"/>
            </w:tcMar>
            <w:vAlign w:val="center"/>
          </w:tcPr>
          <w:p>
            <w:pPr>
              <w:jc w:val="center"/>
            </w:pPr>
            <w:r>
              <w:rPr>
                <w:b w:val="false"/>
                <w:bCs w:val="false"/>
                <w:color w:val="000000"/>
                <w:sz w:val="20"/>
                <w:szCs w:val="20"/>
              </w:rPr>
              <w:t xml:space="preserve">短剧扩张伴随内容、人员及销售费用增加，转为亏损</w:t>
            </w:r>
          </w:p>
        </w:tc>
      </w:tr>
    </w:tbl>
    <w:p>
      <w:pPr>
        <w:spacing w:before="200"/>
      </w:pPr>
    </w:p>
    <w:p>
      <w:pPr>
        <w:spacing w:after="160" w:line="300"/>
      </w:pPr>
      <w:r>
        <w:rPr>
          <w:sz w:val="22"/>
          <w:szCs w:val="22"/>
        </w:rPr>
        <w:t xml:space="preserve">公司处于数字内容/IP运营与短剧制作分发的中游偏平台环节，不具上游资源定价权。利润改善取决于短剧投放回报、内容命中率、渠道成本控制、数字阅读企稳及IP跨媒介变现。</w:t>
      </w:r>
    </w:p>
    <w:p>
      <w:pPr>
        <w:pStyle w:val="Heading2"/>
        <w:spacing w:after="120" w:before="240"/>
      </w:pPr>
      <w:r>
        <w:rPr>
          <w:b/>
          <w:bCs/>
          <w:color w:val="2E74B5"/>
          <w:sz w:val="24"/>
          <w:szCs w:val="24"/>
        </w:rPr>
        <w:t xml:space="preserve">2.4 行业与同行对比</w:t>
      </w:r>
    </w:p>
    <w:p>
      <w:pPr>
        <w:spacing w:after="160" w:line="300"/>
      </w:pPr>
      <w:r>
        <w:rPr>
          <w:sz w:val="22"/>
          <w:szCs w:val="22"/>
        </w:rPr>
        <w:t xml:space="preserve">数字阅读与IP衍生业务交叉发展，短剧扩张带动收入增长；对掌阅而言，核心检验点是投放与内容成本能否转化为持续利润和正向现金流。</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100"/>
        <w:gridCol w:w="2300"/>
        <w:gridCol w:w="2600"/>
        <w:gridCol w:w="2900"/>
      </w:tblGrid>
      <w:tr>
        <w:trPr>
          <w:tblHeader/>
        </w:trPr>
        <w:tc>
          <w:tcPr>
            <w:tcW w:type="dxa" w:w="21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3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可比数据</w:t>
            </w:r>
          </w:p>
        </w:tc>
        <w:tc>
          <w:tcPr>
            <w:tcW w:type="dxa" w:w="2900"/>
            <w:shd w:fill="1F4E79" w:val="clear"/>
            <w:tcMar>
              <w:top w:type="dxa" w:w="80"/>
              <w:left w:type="dxa" w:w="100"/>
              <w:bottom w:type="dxa" w:w="80"/>
              <w:right w:type="dxa" w:w="100"/>
            </w:tcMar>
            <w:vAlign w:val="center"/>
          </w:tcPr>
          <w:p>
            <w:pPr>
              <w:jc w:val="center"/>
            </w:pPr>
            <w:r>
              <w:rPr>
                <w:b/>
                <w:bCs/>
                <w:color w:val="FFFFFF"/>
                <w:sz w:val="20"/>
                <w:szCs w:val="20"/>
              </w:rPr>
              <w:t xml:space="preserve">与本公司差异</w:t>
            </w:r>
          </w:p>
        </w:tc>
      </w:tr>
      <w:tr>
        <w:tc>
          <w:tcPr>
            <w:tcW w:type="dxa" w:w="2100"/>
            <w:tcMar>
              <w:top w:type="dxa" w:w="80"/>
              <w:left w:type="dxa" w:w="100"/>
              <w:bottom w:type="dxa" w:w="80"/>
              <w:right w:type="dxa" w:w="100"/>
            </w:tcMar>
            <w:vAlign w:val="center"/>
          </w:tcPr>
          <w:p>
            <w:pPr>
              <w:jc w:val="left"/>
            </w:pPr>
            <w:r>
              <w:rPr>
                <w:b w:val="false"/>
                <w:bCs w:val="false"/>
                <w:color w:val="000000"/>
                <w:sz w:val="20"/>
                <w:szCs w:val="20"/>
              </w:rPr>
              <w:t xml:space="preserve">中文在线（300364）</w:t>
            </w:r>
          </w:p>
        </w:tc>
        <w:tc>
          <w:tcPr>
            <w:tcW w:type="dxa" w:w="2300"/>
            <w:tcMar>
              <w:top w:type="dxa" w:w="80"/>
              <w:left w:type="dxa" w:w="100"/>
              <w:bottom w:type="dxa" w:w="80"/>
              <w:right w:type="dxa" w:w="100"/>
            </w:tcMar>
            <w:vAlign w:val="center"/>
          </w:tcPr>
          <w:p>
            <w:pPr>
              <w:jc w:val="center"/>
            </w:pPr>
            <w:r>
              <w:rPr>
                <w:b w:val="false"/>
                <w:bCs w:val="false"/>
                <w:color w:val="000000"/>
                <w:sz w:val="20"/>
                <w:szCs w:val="20"/>
              </w:rPr>
              <w:t xml:space="preserve">网络文学版权、短剧及IP衍生</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2025年营收16.57亿元；毛利率36.18%；归母亏损；PE(TTM) 亏损，不适用</w:t>
            </w:r>
          </w:p>
        </w:tc>
        <w:tc>
          <w:tcPr>
            <w:tcW w:type="dxa" w:w="2900"/>
            <w:tcMar>
              <w:top w:type="dxa" w:w="80"/>
              <w:left w:type="dxa" w:w="100"/>
              <w:bottom w:type="dxa" w:w="80"/>
              <w:right w:type="dxa" w:w="100"/>
            </w:tcMar>
            <w:vAlign w:val="center"/>
          </w:tcPr>
          <w:p>
            <w:pPr>
              <w:jc w:val="center"/>
            </w:pPr>
            <w:r>
              <w:rPr>
                <w:b w:val="false"/>
                <w:bCs w:val="false"/>
                <w:color w:val="000000"/>
                <w:sz w:val="20"/>
                <w:szCs w:val="20"/>
              </w:rPr>
              <w:t xml:space="preserve">业务交叉度较高；掌阅数字阅读平台业务更突出</w:t>
            </w:r>
          </w:p>
        </w:tc>
      </w:tr>
      <w:tr>
        <w:tc>
          <w:tcPr>
            <w:tcW w:type="dxa" w:w="21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阅文集团（00772.HK）</w:t>
            </w:r>
          </w:p>
        </w:tc>
        <w:tc>
          <w:tcPr>
            <w:tcW w:type="dxa" w:w="23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在线阅读、文学版权及影视/IP衍生</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2025年营收73.66亿元；毛利率46.1%；IFRS口径归母亏损；PE(最近完整财年) 亏损，不适用</w:t>
            </w:r>
          </w:p>
        </w:tc>
        <w:tc>
          <w:tcPr>
            <w:tcW w:type="dxa" w:w="2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网络文学与IP版权运营体量更大</w:t>
            </w:r>
          </w:p>
        </w:tc>
      </w:tr>
      <w:tr>
        <w:tc>
          <w:tcPr>
            <w:tcW w:type="dxa" w:w="2100"/>
            <w:tcMar>
              <w:top w:type="dxa" w:w="80"/>
              <w:left w:type="dxa" w:w="100"/>
              <w:bottom w:type="dxa" w:w="80"/>
              <w:right w:type="dxa" w:w="100"/>
            </w:tcMar>
            <w:vAlign w:val="center"/>
          </w:tcPr>
          <w:p>
            <w:pPr>
              <w:jc w:val="left"/>
            </w:pPr>
            <w:r>
              <w:rPr>
                <w:b w:val="false"/>
                <w:bCs w:val="false"/>
                <w:color w:val="000000"/>
                <w:sz w:val="20"/>
                <w:szCs w:val="20"/>
              </w:rPr>
              <w:t xml:space="preserve">捷成股份（300182）</w:t>
            </w:r>
          </w:p>
        </w:tc>
        <w:tc>
          <w:tcPr>
            <w:tcW w:type="dxa" w:w="2300"/>
            <w:tcMar>
              <w:top w:type="dxa" w:w="80"/>
              <w:left w:type="dxa" w:w="100"/>
              <w:bottom w:type="dxa" w:w="80"/>
              <w:right w:type="dxa" w:w="100"/>
            </w:tcMar>
            <w:vAlign w:val="center"/>
          </w:tcPr>
          <w:p>
            <w:pPr>
              <w:jc w:val="center"/>
            </w:pPr>
            <w:r>
              <w:rPr>
                <w:b w:val="false"/>
                <w:bCs w:val="false"/>
                <w:color w:val="000000"/>
                <w:sz w:val="20"/>
                <w:szCs w:val="20"/>
              </w:rPr>
              <w:t xml:space="preserve">影视内容、新媒体版权及音视频服务</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2025年营收26.45亿元；毛利率—；PE(TTM) 73.35倍</w:t>
            </w:r>
          </w:p>
        </w:tc>
        <w:tc>
          <w:tcPr>
            <w:tcW w:type="dxa" w:w="2900"/>
            <w:tcMar>
              <w:top w:type="dxa" w:w="80"/>
              <w:left w:type="dxa" w:w="100"/>
              <w:bottom w:type="dxa" w:w="80"/>
              <w:right w:type="dxa" w:w="100"/>
            </w:tcMar>
            <w:vAlign w:val="center"/>
          </w:tcPr>
          <w:p>
            <w:pPr>
              <w:jc w:val="center"/>
            </w:pPr>
            <w:r>
              <w:rPr>
                <w:b w:val="false"/>
                <w:bCs w:val="false"/>
                <w:color w:val="000000"/>
                <w:sz w:val="20"/>
                <w:szCs w:val="20"/>
              </w:rPr>
              <w:t xml:space="preserve">偏影视版权分发及技术服务，数字阅读业务较少</w:t>
            </w:r>
          </w:p>
        </w:tc>
      </w:tr>
      <w:tr>
        <w:tc>
          <w:tcPr>
            <w:tcW w:type="dxa" w:w="21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华策影视（300133）</w:t>
            </w:r>
          </w:p>
        </w:tc>
        <w:tc>
          <w:tcPr>
            <w:tcW w:type="dxa" w:w="23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影视剧制作发行、版权及部分短剧</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2025年营收28.28亿元；毛利率23.40%；PE(TTM) 70.79倍</w:t>
            </w:r>
          </w:p>
        </w:tc>
        <w:tc>
          <w:tcPr>
            <w:tcW w:type="dxa" w:w="2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更偏影视制作发行，与掌阅短剧及IP衍生环节部分重叠</w:t>
            </w:r>
          </w:p>
        </w:tc>
      </w:tr>
    </w:tbl>
    <w:p>
      <w:pPr>
        <w:spacing w:before="200"/>
      </w:pPr>
    </w:p>
    <w:p>
      <w:pPr>
        <w:spacing w:after="160" w:line="300"/>
      </w:pPr>
      <w:r>
        <w:rPr>
          <w:sz w:val="22"/>
          <w:szCs w:val="22"/>
        </w:rPr>
        <w:t xml:space="preserve">掌阅同时经营数字阅读、原创版权与短剧衍生，短剧扩张推动业务结构变化；相较内容版权及影视公司，其阅读平台与IP来源是业务协同基础，短板是数字阅读收入下滑、投放费用高，规模增长尚未兑现为整体盈利。</w:t>
      </w:r>
    </w:p>
    <w:p>
      <w:pPr>
        <w:pStyle w:val="Heading1"/>
        <w:pBdr>
          <w:bottom w:val="single" w:color="1F4E79" w:sz="6" w:space="4"/>
        </w:pBdr>
        <w:spacing w:after="160" w:before="360"/>
      </w:pPr>
      <w:r>
        <w:rPr>
          <w:b/>
          <w:bCs/>
          <w:color w:val="1F4E79"/>
          <w:sz w:val="30"/>
          <w:szCs w:val="30"/>
        </w:rPr>
        <w:t xml:space="preserve">三、财务质量</w:t>
      </w:r>
    </w:p>
    <w:p>
      <w:pPr>
        <w:pStyle w:val="Heading2"/>
        <w:spacing w:after="120" w:before="240"/>
      </w:pPr>
      <w:r>
        <w:rPr>
          <w:b/>
          <w:bCs/>
          <w:color w:val="2E74B5"/>
          <w:sz w:val="24"/>
          <w:szCs w:val="24"/>
        </w:rPr>
        <w:t xml:space="preserve">3.1 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1600"/>
        <w:gridCol w:w="1100"/>
        <w:gridCol w:w="1600"/>
        <w:gridCol w:w="1100"/>
        <w:gridCol w:w="1400"/>
        <w:gridCol w:w="16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1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1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1400"/>
            <w:shd w:fill="1F4E79" w:val="clear"/>
            <w:tcMar>
              <w:top w:type="dxa" w:w="80"/>
              <w:left w:type="dxa" w:w="100"/>
              <w:bottom w:type="dxa" w:w="80"/>
              <w:right w:type="dxa" w:w="100"/>
            </w:tcMar>
            <w:vAlign w:val="center"/>
          </w:tcPr>
          <w:p>
            <w:pPr>
              <w:jc w:val="center"/>
            </w:pPr>
            <w:r>
              <w:rPr>
                <w:b/>
                <w:bCs/>
                <w:color w:val="FFFFFF"/>
                <w:sz w:val="20"/>
                <w:szCs w:val="20"/>
              </w:rPr>
              <w:t xml:space="preserve">扣非同比</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17.84亿元人民币</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+16.89%</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-0.50亿元人民币</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+68.69%</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+56.83%</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65.63%</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32.43亿元人民币</w:t>
            </w:r>
          </w:p>
        </w:tc>
        <w:tc>
          <w:tcPr>
            <w:tcW w:type="dxa" w:w="11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+25.53%</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-1.76亿元人民币</w:t>
            </w:r>
          </w:p>
        </w:tc>
        <w:tc>
          <w:tcPr>
            <w:tcW w:type="dxa" w:w="11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-457.98%</w:t>
            </w:r>
          </w:p>
        </w:tc>
        <w:tc>
          <w:tcPr>
            <w:tcW w:type="dxa" w:w="1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-699.68%</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69.10%</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25.83亿元人民币</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-7.02%</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0.49亿元人民币</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+41.46%</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+185.38%</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73.38%</w:t>
            </w:r>
          </w:p>
        </w:tc>
      </w:tr>
    </w:tbl>
    <w:p>
      <w:pPr>
        <w:spacing w:before="200"/>
      </w:pPr>
    </w:p>
    <w:p>
      <w:pPr>
        <w:spacing w:after="200"/>
      </w:pPr>
      <w:r>
        <w:rPr>
          <w:i/>
          <w:iCs/>
          <w:color w:val="595959"/>
          <w:sz w:val="18"/>
          <w:szCs w:val="18"/>
        </w:rPr>
        <w:t xml:space="preserve">营业收入与归母净利润按同期间官方报表及明确币种列示；调整后盈利与法定利润分别比较。表中营业收入、归母净利润共6项，6项与发行人定期报告原文逐项比对一致。同比增速按原文本期、上期数推算了6项，6项与表中一致。</w:t>
      </w:r>
    </w:p>
    <w:p>
      <w:pPr>
        <w:spacing w:after="160" w:line="300"/>
      </w:pPr>
      <w:r>
        <w:rPr>
          <w:sz w:val="22"/>
          <w:szCs w:val="22"/>
        </w:rPr>
        <w:t xml:space="preserve">2025年短剧投入推高成本费用，收入增长仍转亏；2026H1亏损收窄、单季归母净利润同比改善80.88%，但公司仍处投入期，投放效率与短剧业务变现是扭亏关键。</w:t>
      </w:r>
    </w:p>
    <w:p>
      <w:pPr>
        <w:pStyle w:val="Heading2"/>
        <w:spacing w:after="120" w:before="240"/>
      </w:pPr>
      <w:r>
        <w:rPr>
          <w:b/>
          <w:bCs/>
          <w:color w:val="2E74B5"/>
          <w:sz w:val="24"/>
          <w:szCs w:val="24"/>
        </w:rPr>
        <w:t xml:space="preserve">3.2 财务健康检查</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400"/>
        <w:gridCol w:w="2000"/>
        <w:gridCol w:w="1100"/>
        <w:gridCol w:w="44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1100"/>
            <w:shd w:fill="1F4E79" w:val="clear"/>
            <w:tcMar>
              <w:top w:type="dxa" w:w="80"/>
              <w:left w:type="dxa" w:w="100"/>
              <w:bottom w:type="dxa" w:w="80"/>
              <w:right w:type="dxa" w:w="100"/>
            </w:tcMar>
            <w:vAlign w:val="center"/>
          </w:tcPr>
          <w:p>
            <w:pPr>
              <w:jc w:val="center"/>
            </w:pPr>
            <w:r>
              <w:rPr>
                <w:b/>
                <w:bCs/>
                <w:color w:val="FFFFFF"/>
                <w:sz w:val="20"/>
                <w:szCs w:val="20"/>
              </w:rPr>
              <w:t xml:space="preserve">判断</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加权ROE</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2026H1 -2.18%</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关注</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仍为亏损，股东资本回报为负。</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经营活动现金流净额</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2026H1 -1.17亿元</w:t>
            </w:r>
          </w:p>
        </w:tc>
        <w:tc>
          <w:tcPr>
            <w:tcW w:type="dxa" w:w="11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关注</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经营现金仍净流出。</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资产负债率</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2026H1 22.12%</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良好</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整体杠杆水平较低。</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流动比率</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2026H1 3.54</w:t>
            </w:r>
          </w:p>
        </w:tc>
        <w:tc>
          <w:tcPr>
            <w:tcW w:type="dxa" w:w="11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良好</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短期偿债缓冲较充足。</w:t>
            </w:r>
          </w:p>
        </w:tc>
      </w:tr>
    </w:tbl>
    <w:p>
      <w:pPr>
        <w:spacing w:before="200"/>
      </w:pPr>
    </w:p>
    <w:p>
      <w:pPr>
        <w:pStyle w:val="Heading1"/>
        <w:pBdr>
          <w:bottom w:val="single" w:color="1F4E79" w:sz="6" w:space="4"/>
        </w:pBdr>
        <w:spacing w:after="160" w:before="360"/>
      </w:pPr>
      <w:r>
        <w:rPr>
          <w:b/>
          <w:bCs/>
          <w:color w:val="1F4E79"/>
          <w:sz w:val="30"/>
          <w:szCs w:val="30"/>
        </w:rPr>
        <w:t xml:space="preserve">四、估值与市场预期</w:t>
      </w:r>
    </w:p>
    <w:p>
      <w:pPr>
        <w:pStyle w:val="Heading2"/>
        <w:spacing w:after="120" w:before="240"/>
      </w:pPr>
      <w:r>
        <w:rPr>
          <w:b/>
          <w:bCs/>
          <w:color w:val="2E74B5"/>
          <w:sz w:val="24"/>
          <w:szCs w:val="24"/>
        </w:rPr>
        <w:t xml:space="preserve">4.1 估值水平</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200"/>
        <w:gridCol w:w="2000"/>
        <w:gridCol w:w="2900"/>
        <w:gridCol w:w="28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当前</w:t>
            </w:r>
          </w:p>
        </w:tc>
        <w:tc>
          <w:tcPr>
            <w:tcW w:type="dxa" w:w="2900"/>
            <w:shd w:fill="1F4E79" w:val="clear"/>
            <w:tcMar>
              <w:top w:type="dxa" w:w="80"/>
              <w:left w:type="dxa" w:w="100"/>
              <w:bottom w:type="dxa" w:w="80"/>
              <w:right w:type="dxa" w:w="100"/>
            </w:tcMar>
            <w:vAlign w:val="center"/>
          </w:tcPr>
          <w:p>
            <w:pPr>
              <w:jc w:val="center"/>
            </w:pPr>
            <w:r>
              <w:rPr>
                <w:b/>
                <w:bCs/>
                <w:color w:val="FFFFFF"/>
                <w:sz w:val="20"/>
                <w:szCs w:val="20"/>
              </w:rPr>
              <w:t xml:space="preserve">自身历史</w:t>
            </w:r>
          </w:p>
        </w:tc>
        <w:tc>
          <w:tcPr>
            <w:tcW w:type="dxa" w:w="2800"/>
            <w:shd w:fill="1F4E79" w:val="clear"/>
            <w:tcMar>
              <w:top w:type="dxa" w:w="80"/>
              <w:left w:type="dxa" w:w="100"/>
              <w:bottom w:type="dxa" w:w="80"/>
              <w:right w:type="dxa" w:w="100"/>
            </w:tcMar>
            <w:vAlign w:val="center"/>
          </w:tcPr>
          <w:p>
            <w:pPr>
              <w:jc w:val="center"/>
            </w:pPr>
            <w:r>
              <w:rPr>
                <w:b/>
                <w:bCs/>
                <w:color w:val="FFFFFF"/>
                <w:sz w:val="20"/>
                <w:szCs w:val="20"/>
              </w:rPr>
              <w:t xml:space="preserve">同行对比</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PB(MRQ)</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5.39倍</w:t>
            </w:r>
          </w:p>
        </w:tc>
        <w:tc>
          <w:tcPr>
            <w:tcW w:type="dxa" w:w="2900"/>
            <w:tcMar>
              <w:top w:type="dxa" w:w="80"/>
              <w:left w:type="dxa" w:w="100"/>
              <w:bottom w:type="dxa" w:w="80"/>
              <w:right w:type="dxa" w:w="100"/>
            </w:tcMar>
            <w:vAlign w:val="center"/>
          </w:tcPr>
          <w:p>
            <w:pPr>
              <w:jc w:val="center"/>
            </w:pPr>
            <w:r>
              <w:rPr>
                <w:b w:val="false"/>
                <w:bCs w:val="false"/>
                <w:color w:val="000000"/>
                <w:sz w:val="20"/>
                <w:szCs w:val="20"/>
              </w:rPr>
              <w:t xml:space="preserve">近5.2年99%分位（中位数3.64倍）</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中位数2.29倍（中文在线70.27、捷成股份1.76、华策影视2.29）</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PS(TTM)</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3.51倍</w:t>
            </w:r>
          </w:p>
        </w:tc>
        <w:tc>
          <w:tcPr>
            <w:tcW w:type="dxa" w:w="2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近5.2年59%分位（中位数3.38倍）</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中位数6.61倍（中文在线11.03、捷成股份6.61、华策影视6.25）</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股息率</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0%</w:t>
            </w:r>
          </w:p>
        </w:tc>
        <w:tc>
          <w:tcPr>
            <w:tcW w:type="dxa" w:w="2900"/>
            <w:tcMar>
              <w:top w:type="dxa" w:w="80"/>
              <w:left w:type="dxa" w:w="100"/>
              <w:bottom w:type="dxa" w:w="80"/>
              <w:right w:type="dxa" w:w="100"/>
            </w:tcMar>
            <w:vAlign w:val="center"/>
          </w:tcPr>
          <w:p>
            <w:pPr>
              <w:jc w:val="center"/>
            </w:pPr>
            <w:r>
              <w:rPr>
                <w:b w:val="false"/>
                <w:bCs w:val="false"/>
                <w:color w:val="000000"/>
                <w:sz w:val="20"/>
                <w:szCs w:val="20"/>
              </w:rPr>
              <w:t xml:space="preserve">—</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PE(TTM)</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亏损，不适用</w:t>
            </w:r>
          </w:p>
        </w:tc>
        <w:tc>
          <w:tcPr>
            <w:tcW w:type="dxa" w:w="2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中位数72.07倍（捷成股份73.35、华策影视70.79）</w:t>
            </w:r>
          </w:p>
        </w:tc>
      </w:tr>
    </w:tbl>
    <w:p>
      <w:pPr>
        <w:spacing w:before="200"/>
      </w:pPr>
    </w:p>
    <w:p>
      <w:pPr>
        <w:spacing w:after="200"/>
      </w:pPr>
      <w:r>
        <w:rPr>
          <w:i/>
          <w:iCs/>
          <w:color w:val="595959"/>
          <w:sz w:val="18"/>
          <w:szCs w:val="18"/>
        </w:rPr>
        <w:t xml:space="preserve">估值倍数由程序按2026-10-12收盘数据计算（滚动十二个月口径）；同行倍数按2026-10-12收盘数据同口径计算</w:t>
      </w:r>
    </w:p>
    <w:p>
      <w:pPr>
        <w:spacing w:after="160" w:line="300"/>
      </w:pPr>
      <w:r>
        <w:rPr>
          <w:sz w:val="22"/>
          <w:szCs w:val="22"/>
        </w:rPr>
        <w:t xml:space="preserve">PE-TTM因亏损不适用。PB 5.39倍处近5.2年99%分位，高于中位数3.64倍；PS 3.51倍处59%分位，接近中位数3.38倍。无机构一致预期，价格隐含的盈利增速无法量化，估值仍要求短剧扩张兑现为盈利。</w:t>
      </w:r>
    </w:p>
    <w:p>
      <w:pPr>
        <w:pStyle w:val="Heading2"/>
        <w:spacing w:after="120" w:before="240"/>
      </w:pPr>
      <w:r>
        <w:rPr>
          <w:b/>
          <w:bCs/>
          <w:color w:val="2E74B5"/>
          <w:sz w:val="24"/>
          <w:szCs w:val="24"/>
        </w:rPr>
        <w:t xml:space="preserve">4.2 机构观点</w:t>
      </w:r>
    </w:p>
    <w:p>
      <w:pPr>
        <w:spacing w:after="160" w:line="300"/>
      </w:pPr>
      <w:r>
        <w:rPr>
          <w:sz w:val="22"/>
          <w:szCs w:val="22"/>
        </w:rPr>
        <w:t xml:space="preserve">无覆盖及目标价。</w:t>
      </w:r>
    </w:p>
    <w:p>
      <w:pPr>
        <w:pStyle w:val="Heading1"/>
        <w:pBdr>
          <w:bottom w:val="single" w:color="1F4E79" w:sz="6" w:space="4"/>
        </w:pBdr>
        <w:spacing w:after="160" w:before="360"/>
      </w:pPr>
      <w:r>
        <w:rPr>
          <w:b/>
          <w:bCs/>
          <w:color w:val="1F4E79"/>
          <w:sz w:val="30"/>
          <w:szCs w:val="30"/>
        </w:rPr>
        <w:t xml:space="preserve">五、催化剂与近期事件</w:t>
      </w:r>
    </w:p>
    <w:p>
      <w:pPr>
        <w:pStyle w:val="Heading2"/>
        <w:spacing w:after="120" w:before="240"/>
      </w:pPr>
      <w:r>
        <w:rPr>
          <w:b/>
          <w:bCs/>
          <w:color w:val="2E74B5"/>
          <w:sz w:val="24"/>
          <w:szCs w:val="24"/>
        </w:rPr>
        <w:t xml:space="preserve">5.1 未来关键节点</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200"/>
        <w:gridCol w:w="3000"/>
        <w:gridCol w:w="4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时间</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事件</w:t>
            </w:r>
          </w:p>
        </w:tc>
        <w:tc>
          <w:tcPr>
            <w:tcW w:type="dxa" w:w="4700"/>
            <w:shd w:fill="1F4E79" w:val="clear"/>
            <w:tcMar>
              <w:top w:type="dxa" w:w="80"/>
              <w:left w:type="dxa" w:w="100"/>
              <w:bottom w:type="dxa" w:w="80"/>
              <w:right w:type="dxa" w:w="100"/>
            </w:tcMar>
            <w:vAlign w:val="center"/>
          </w:tcPr>
          <w:p>
            <w:pPr>
              <w:jc w:val="center"/>
            </w:pPr>
            <w:r>
              <w:rPr>
                <w:b/>
                <w:bCs/>
                <w:color w:val="FFFFFF"/>
                <w:sz w:val="20"/>
                <w:szCs w:val="20"/>
              </w:rPr>
              <w:t xml:space="preserve">看点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2026-10-31</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预约披露2026年三季报</w:t>
            </w:r>
          </w:p>
        </w:tc>
        <w:tc>
          <w:tcPr>
            <w:tcW w:type="dxa" w:w="4700"/>
            <w:tcMar>
              <w:top w:type="dxa" w:w="80"/>
              <w:left w:type="dxa" w:w="100"/>
              <w:bottom w:type="dxa" w:w="80"/>
              <w:right w:type="dxa" w:w="100"/>
            </w:tcMar>
            <w:vAlign w:val="center"/>
          </w:tcPr>
          <w:p>
            <w:pPr>
              <w:jc w:val="center"/>
            </w:pPr>
            <w:r>
              <w:rPr>
                <w:b w:val="false"/>
                <w:bCs w:val="false"/>
                <w:color w:val="000000"/>
                <w:sz w:val="20"/>
                <w:szCs w:val="20"/>
              </w:rPr>
              <w:t xml:space="preserve">关注收入、利润及短剧业务趋势，判断经营改善是否延续。</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2026-10-26至2027-01-24</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张凌云集中竞价减持窗口</w:t>
            </w:r>
          </w:p>
        </w:tc>
        <w:tc>
          <w:tcPr>
            <w:tcW w:type="dxa" w:w="4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减持上限为总股本1%；关注实际减持进度及后续公告。</w:t>
            </w:r>
          </w:p>
        </w:tc>
      </w:tr>
    </w:tbl>
    <w:p>
      <w:pPr>
        <w:spacing w:before="200"/>
      </w:pPr>
    </w:p>
    <w:p>
      <w:pPr>
        <w:pStyle w:val="Heading2"/>
        <w:spacing w:after="120" w:before="240"/>
      </w:pPr>
      <w:r>
        <w:rPr>
          <w:b/>
          <w:bCs/>
          <w:color w:val="2E74B5"/>
          <w:sz w:val="24"/>
          <w:szCs w:val="24"/>
        </w:rPr>
        <w:t xml:space="preserve">5.2 近期重要事件</w:t>
      </w:r>
    </w:p>
    <w:p>
      <w:pPr>
        <w:pStyle w:val="ListParagraph"/>
        <w:numPr>
          <w:ilvl w:val="0"/>
          <w:numId w:val="2"/>
        </w:numPr>
        <w:spacing w:after="80" w:line="280"/>
      </w:pPr>
      <w:r>
        <w:rPr>
          <w:b/>
          <w:bCs/>
          <w:sz w:val="22"/>
          <w:szCs w:val="22"/>
        </w:rPr>
        <w:t xml:space="preserve">2026-09-24 第二大股东拟减持不超1%（利空）</w:t>
      </w:r>
      <w:r>
        <w:rPr>
          <w:sz w:val="22"/>
          <w:szCs w:val="22"/>
        </w:rPr>
        <w:t xml:space="preserve">：张凌云拟在减持窗口内集中竞价减持不超过总股本1%，减持原因称为自身需要，增加短期股票供给压力。</w:t>
      </w:r>
    </w:p>
    <w:p>
      <w:pPr>
        <w:pStyle w:val="ListParagraph"/>
        <w:numPr>
          <w:ilvl w:val="0"/>
          <w:numId w:val="2"/>
        </w:numPr>
        <w:spacing w:after="80" w:line="280"/>
      </w:pPr>
      <w:r>
        <w:rPr>
          <w:b/>
          <w:bCs/>
          <w:sz w:val="22"/>
          <w:szCs w:val="22"/>
        </w:rPr>
        <w:t xml:space="preserve">2026-10-12 股价异动公告否认重大事项（中性）</w:t>
      </w:r>
      <w:r>
        <w:rPr>
          <w:sz w:val="22"/>
          <w:szCs w:val="22"/>
        </w:rPr>
        <w:t xml:space="preserve">：公司称10月9日、12日连续交易异动期间不存在应披露未披露重大事项，未确认股价上涨有基本面或重组事项驱动。</w:t>
      </w:r>
    </w:p>
    <w:p>
      <w:pPr>
        <w:pStyle w:val="ListParagraph"/>
        <w:numPr>
          <w:ilvl w:val="0"/>
          <w:numId w:val="2"/>
        </w:numPr>
        <w:spacing w:after="80" w:line="280"/>
      </w:pPr>
      <w:r>
        <w:rPr>
          <w:b/>
          <w:bCs/>
          <w:sz w:val="22"/>
          <w:szCs w:val="22"/>
        </w:rPr>
        <w:t xml:space="preserve">2026-08-27 半年报显示短剧业务占比提升（中性）</w:t>
      </w:r>
      <w:r>
        <w:rPr>
          <w:sz w:val="22"/>
          <w:szCs w:val="22"/>
        </w:rPr>
        <w:t xml:space="preserve">：半年报显示短剧等衍生业务占营收66.44%，高于2025年底的57.2%；公司不进行2026年半年度利润分配或转增股本。</w:t>
      </w:r>
    </w:p>
    <w:p>
      <w:pPr>
        <w:pStyle w:val="Heading1"/>
        <w:pBdr>
          <w:bottom w:val="single" w:color="1F4E79" w:sz="6" w:space="4"/>
        </w:pBdr>
        <w:spacing w:after="160" w:before="360"/>
      </w:pPr>
      <w:r>
        <w:rPr>
          <w:b/>
          <w:bCs/>
          <w:color w:val="1F4E79"/>
          <w:sz w:val="30"/>
          <w:szCs w:val="30"/>
        </w:rPr>
        <w:t xml:space="preserve">六、多空分歧与风险</w:t>
      </w:r>
    </w:p>
    <w:p>
      <w:pPr>
        <w:pStyle w:val="Heading2"/>
        <w:spacing w:after="120" w:before="240"/>
      </w:pPr>
      <w:r>
        <w:rPr>
          <w:b/>
          <w:bCs/>
          <w:color w:val="2E74B5"/>
          <w:sz w:val="24"/>
          <w:szCs w:val="24"/>
        </w:rPr>
        <w:t xml:space="preserve">6.1 看多理由</w:t>
      </w:r>
    </w:p>
    <w:p>
      <w:pPr>
        <w:pStyle w:val="ListParagraph"/>
        <w:numPr>
          <w:ilvl w:val="0"/>
          <w:numId w:val="2"/>
        </w:numPr>
        <w:spacing w:after="80" w:line="280"/>
      </w:pPr>
      <w:r>
        <w:rPr>
          <w:sz w:val="22"/>
          <w:szCs w:val="22"/>
        </w:rPr>
        <w:t xml:space="preserve">短剧等衍生业务在2026H1已占营收66.44%，占比继续提升可对冲阅读平台下滑。</w:t>
      </w:r>
    </w:p>
    <w:p>
      <w:pPr>
        <w:pStyle w:val="ListParagraph"/>
        <w:numPr>
          <w:ilvl w:val="0"/>
          <w:numId w:val="2"/>
        </w:numPr>
        <w:spacing w:after="80" w:line="280"/>
      </w:pPr>
      <w:r>
        <w:rPr>
          <w:sz w:val="22"/>
          <w:szCs w:val="22"/>
        </w:rPr>
        <w:t xml:space="preserve">2025年上线800余部剧集，内容供给扩张为短剧变现和IP衍生提供基础。</w:t>
      </w:r>
    </w:p>
    <w:p>
      <w:pPr>
        <w:pStyle w:val="Heading2"/>
        <w:spacing w:after="120" w:before="240"/>
      </w:pPr>
      <w:r>
        <w:rPr>
          <w:b/>
          <w:bCs/>
          <w:color w:val="2E74B5"/>
          <w:sz w:val="24"/>
          <w:szCs w:val="24"/>
        </w:rPr>
        <w:t xml:space="preserve">6.2 看空理由</w:t>
      </w:r>
    </w:p>
    <w:p>
      <w:pPr>
        <w:pStyle w:val="ListParagraph"/>
        <w:numPr>
          <w:ilvl w:val="0"/>
          <w:numId w:val="2"/>
        </w:numPr>
        <w:spacing w:after="80" w:line="280"/>
      </w:pPr>
      <w:r>
        <w:rPr>
          <w:sz w:val="22"/>
          <w:szCs w:val="22"/>
        </w:rPr>
        <w:t xml:space="preserve">2025年归母净亏损1.76亿元，毛利率由2024年的73.38%降至69.10%，扩张尚未转为利润。</w:t>
      </w:r>
    </w:p>
    <w:p>
      <w:pPr>
        <w:pStyle w:val="ListParagraph"/>
        <w:numPr>
          <w:ilvl w:val="0"/>
          <w:numId w:val="2"/>
        </w:numPr>
        <w:spacing w:after="80" w:line="280"/>
      </w:pPr>
      <w:r>
        <w:rPr>
          <w:sz w:val="22"/>
          <w:szCs w:val="22"/>
        </w:rPr>
        <w:t xml:space="preserve">数字阅读平台2025年毛利率同比下降9.05个百分点，收入下滑与毛利承压同时存在。</w:t>
      </w:r>
    </w:p>
    <w:p>
      <w:pPr>
        <w:pStyle w:val="Heading2"/>
        <w:spacing w:after="120" w:before="240"/>
      </w:pPr>
      <w:r>
        <w:rPr>
          <w:b/>
          <w:bCs/>
          <w:color w:val="2E74B5"/>
          <w:sz w:val="24"/>
          <w:szCs w:val="24"/>
        </w:rPr>
        <w:t xml:space="preserve">6.3 其他风险</w:t>
      </w:r>
    </w:p>
    <w:p>
      <w:pPr>
        <w:pStyle w:val="ListParagraph"/>
        <w:numPr>
          <w:ilvl w:val="0"/>
          <w:numId w:val="2"/>
        </w:numPr>
        <w:spacing w:after="80" w:line="280"/>
      </w:pPr>
      <w:r>
        <w:rPr>
          <w:sz w:val="22"/>
          <w:szCs w:val="22"/>
        </w:rPr>
        <w:t xml:space="preserve">前五大客户销售占比47.80%、关联方占38.26%→客户合作或结算变化可能冲击收入并抬升估值风险溢价。</w:t>
      </w:r>
    </w:p>
    <w:p>
      <w:pPr>
        <w:pStyle w:val="ListParagraph"/>
        <w:numPr>
          <w:ilvl w:val="0"/>
          <w:numId w:val="2"/>
        </w:numPr>
        <w:spacing w:after="80" w:line="280"/>
      </w:pPr>
      <w:r>
        <w:rPr>
          <w:sz w:val="22"/>
          <w:szCs w:val="22"/>
        </w:rPr>
        <w:t xml:space="preserve">数字阅读渠道成本同比增长176.86%、衍生业务内容成本增长252.36%→若变现效率跟不上，成本扩张将压低毛利和盈利兑现速度。</w:t>
      </w:r>
    </w:p>
    <w:p>
      <w:pPr>
        <w:pStyle w:val="ListParagraph"/>
        <w:numPr>
          <w:ilvl w:val="0"/>
          <w:numId w:val="2"/>
        </w:numPr>
        <w:spacing w:after="80" w:line="280"/>
      </w:pPr>
      <w:r>
        <w:rPr>
          <w:sz w:val="22"/>
          <w:szCs w:val="22"/>
        </w:rPr>
        <w:t xml:space="preserve">2026H1经营活动现金流净流出1.17亿元→若后续持续为负，可能限制内容投入并削弱盈利改善质量。</w:t>
      </w:r>
    </w:p>
    <w:p>
      <w:pPr>
        <w:pStyle w:val="ListParagraph"/>
        <w:numPr>
          <w:ilvl w:val="0"/>
          <w:numId w:val="2"/>
        </w:numPr>
        <w:spacing w:after="80" w:line="280"/>
      </w:pPr>
      <w:r>
        <w:rPr>
          <w:sz w:val="22"/>
          <w:szCs w:val="22"/>
        </w:rPr>
        <w:t xml:space="preserve">第二大股东拟在2026-10-26至2027-01-24减持不超过总股本1%→实际减持可能增加股票供给、压制短期估值表现。</w:t>
      </w:r>
    </w:p>
    <w:p>
      <w:pPr>
        <w:pStyle w:val="Heading1"/>
        <w:pBdr>
          <w:bottom w:val="single" w:color="1F4E79" w:sz="6" w:space="4"/>
        </w:pBdr>
        <w:spacing w:after="160" w:before="360"/>
      </w:pPr>
      <w:r>
        <w:rPr>
          <w:b/>
          <w:bCs/>
          <w:color w:val="1F4E79"/>
          <w:sz w:val="30"/>
          <w:szCs w:val="30"/>
        </w:rPr>
        <w:t xml:space="preserve">七、跟踪清单</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100"/>
        <w:gridCol w:w="2200"/>
        <w:gridCol w:w="2800"/>
        <w:gridCol w:w="2800"/>
      </w:tblGrid>
      <w:tr>
        <w:trPr>
          <w:tblHeader/>
        </w:trPr>
        <w:tc>
          <w:tcPr>
            <w:tcW w:type="dxa" w:w="2100"/>
            <w:shd w:fill="1F4E79" w:val="clear"/>
            <w:tcMar>
              <w:top w:type="dxa" w:w="80"/>
              <w:left w:type="dxa" w:w="100"/>
              <w:bottom w:type="dxa" w:w="80"/>
              <w:right w:type="dxa" w:w="100"/>
            </w:tcMar>
            <w:vAlign w:val="center"/>
          </w:tcPr>
          <w:p>
            <w:pPr>
              <w:jc w:val="center"/>
            </w:pPr>
            <w:r>
              <w:rPr>
                <w:b/>
                <w:bCs/>
                <w:color w:val="FFFFFF"/>
                <w:sz w:val="20"/>
                <w:szCs w:val="20"/>
              </w:rPr>
              <w:t xml:space="preserve">跟踪指标</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当前</w:t>
            </w:r>
          </w:p>
        </w:tc>
        <w:tc>
          <w:tcPr>
            <w:tcW w:type="dxa" w:w="2800"/>
            <w:shd w:fill="1F4E79" w:val="clear"/>
            <w:tcMar>
              <w:top w:type="dxa" w:w="80"/>
              <w:left w:type="dxa" w:w="100"/>
              <w:bottom w:type="dxa" w:w="80"/>
              <w:right w:type="dxa" w:w="100"/>
            </w:tcMar>
            <w:vAlign w:val="center"/>
          </w:tcPr>
          <w:p>
            <w:pPr>
              <w:jc w:val="center"/>
            </w:pPr>
            <w:r>
              <w:rPr>
                <w:b/>
                <w:bCs/>
                <w:color w:val="FFFFFF"/>
                <w:sz w:val="20"/>
                <w:szCs w:val="20"/>
              </w:rPr>
              <w:t xml:space="preserve">验证看多</w:t>
            </w:r>
          </w:p>
        </w:tc>
        <w:tc>
          <w:tcPr>
            <w:tcW w:type="dxa" w:w="2800"/>
            <w:shd w:fill="1F4E79" w:val="clear"/>
            <w:tcMar>
              <w:top w:type="dxa" w:w="80"/>
              <w:left w:type="dxa" w:w="100"/>
              <w:bottom w:type="dxa" w:w="80"/>
              <w:right w:type="dxa" w:w="100"/>
            </w:tcMar>
            <w:vAlign w:val="center"/>
          </w:tcPr>
          <w:p>
            <w:pPr>
              <w:jc w:val="center"/>
            </w:pPr>
            <w:r>
              <w:rPr>
                <w:b/>
                <w:bCs/>
                <w:color w:val="FFFFFF"/>
                <w:sz w:val="20"/>
                <w:szCs w:val="20"/>
              </w:rPr>
              <w:t xml:space="preserve">验证看空</w:t>
            </w:r>
          </w:p>
        </w:tc>
      </w:tr>
      <w:tr>
        <w:tc>
          <w:tcPr>
            <w:tcW w:type="dxa" w:w="2100"/>
            <w:tcMar>
              <w:top w:type="dxa" w:w="80"/>
              <w:left w:type="dxa" w:w="100"/>
              <w:bottom w:type="dxa" w:w="80"/>
              <w:right w:type="dxa" w:w="100"/>
            </w:tcMar>
            <w:vAlign w:val="center"/>
          </w:tcPr>
          <w:p>
            <w:pPr>
              <w:jc w:val="left"/>
            </w:pPr>
            <w:r>
              <w:rPr>
                <w:b w:val="false"/>
                <w:bCs w:val="false"/>
                <w:color w:val="000000"/>
                <w:sz w:val="20"/>
                <w:szCs w:val="20"/>
              </w:rPr>
              <w:t xml:space="preserve">三季报经营表现</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预约2026-10-31披露</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营收同比保持正增长且归母亏损继续收窄</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营收转为同比下降或归母亏损扩大</w:t>
            </w:r>
          </w:p>
        </w:tc>
      </w:tr>
      <w:tr>
        <w:tc>
          <w:tcPr>
            <w:tcW w:type="dxa" w:w="21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衍生业务占比</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2026H1为66.44%</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占比维持高位且公司整体亏损继续收窄</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占比回落并伴随收入或利润改善停滞</w:t>
            </w:r>
          </w:p>
        </w:tc>
      </w:tr>
      <w:tr>
        <w:tc>
          <w:tcPr>
            <w:tcW w:type="dxa" w:w="2100"/>
            <w:tcMar>
              <w:top w:type="dxa" w:w="80"/>
              <w:left w:type="dxa" w:w="100"/>
              <w:bottom w:type="dxa" w:w="80"/>
              <w:right w:type="dxa" w:w="100"/>
            </w:tcMar>
            <w:vAlign w:val="center"/>
          </w:tcPr>
          <w:p>
            <w:pPr>
              <w:jc w:val="left"/>
            </w:pPr>
            <w:r>
              <w:rPr>
                <w:b w:val="false"/>
                <w:bCs w:val="false"/>
                <w:color w:val="000000"/>
                <w:sz w:val="20"/>
                <w:szCs w:val="20"/>
              </w:rPr>
              <w:t xml:space="preserve">数字阅读收入</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2025年同比下降23.73%</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后续披露显示降幅持续收窄或恢复增长</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收入继续明显下滑且毛利率进一步走低</w:t>
            </w:r>
          </w:p>
        </w:tc>
      </w:tr>
      <w:tr>
        <w:tc>
          <w:tcPr>
            <w:tcW w:type="dxa" w:w="21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经营活动现金流</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2026H1净流出1.17亿元</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后续报告期转为净流入或流出显著收窄</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后续报告期仍净流出且亏损未收窄</w:t>
            </w:r>
          </w:p>
        </w:tc>
      </w:tr>
    </w:tbl>
    <w:p>
      <w:pPr>
        <w:spacing w:before="200"/>
      </w:pPr>
    </w:p>
    <w:p>
      <w:pPr>
        <w:pStyle w:val="Heading1"/>
        <w:pBdr>
          <w:bottom w:val="single" w:color="1F4E79" w:sz="6" w:space="4"/>
        </w:pBdr>
        <w:spacing w:after="160" w:before="360"/>
      </w:pPr>
      <w:r>
        <w:rPr>
          <w:b/>
          <w:bCs/>
          <w:color w:val="1F4E79"/>
          <w:sz w:val="30"/>
          <w:szCs w:val="30"/>
        </w:rPr>
        <w:t xml:space="preserve">八、股价与短线展望（未来一周，情景推演，仅供参考）</w:t>
      </w:r>
    </w:p>
    <w:p>
      <w:pPr>
        <w:spacing w:after="160"/>
      </w:pPr>
      <w:r>
        <w:rPr>
          <w:b/>
          <w:bCs/>
          <w:color w:val="9C5700"/>
          <w:sz w:val="20"/>
          <w:szCs w:val="20"/>
        </w:rPr>
        <w:t xml:space="preserve">⚠️以下情景权重为基于现有技术与资金面的主观启发式判断，非统计概率；短线波动风险较高。</w:t>
      </w:r>
    </w:p>
    <w:p>
      <w:pPr>
        <w:pStyle w:val="Heading2"/>
        <w:spacing w:after="120" w:before="240"/>
      </w:pPr>
      <w:r>
        <w:rPr>
          <w:b/>
          <w:bCs/>
          <w:color w:val="2E74B5"/>
          <w:sz w:val="24"/>
          <w:szCs w:val="24"/>
        </w:rPr>
        <w:t xml:space="preserve">8.1 技术面概况</w:t>
      </w:r>
    </w:p>
    <w:p>
      <w:pPr>
        <w:spacing w:after="160" w:line="300"/>
      </w:pPr>
      <w:r>
        <w:rPr>
          <w:sz w:val="22"/>
          <w:szCs w:val="22"/>
        </w:rPr>
        <w:t xml:space="preserve">股价短线强势，收于近20日高点且成交量达近20日均量2.5倍；但收盘高于布林上轨，RSI6达79.5，短期过热，需关注放量能否延续及回踩支撑的承接。</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400"/>
        <w:gridCol w:w="3000"/>
        <w:gridCol w:w="45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4500"/>
            <w:shd w:fill="1F4E79" w:val="clear"/>
            <w:tcMar>
              <w:top w:type="dxa" w:w="80"/>
              <w:left w:type="dxa" w:w="100"/>
              <w:bottom w:type="dxa" w:w="80"/>
              <w:right w:type="dxa" w:w="100"/>
            </w:tcMar>
            <w:vAlign w:val="center"/>
          </w:tcPr>
          <w:p>
            <w:pPr>
              <w:jc w:val="center"/>
            </w:pPr>
            <w:r>
              <w:rPr>
                <w:b/>
                <w:bCs/>
                <w:color w:val="FFFFFF"/>
                <w:sz w:val="20"/>
                <w:szCs w:val="20"/>
              </w:rPr>
              <w:t xml:space="preserve">解读</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近5个交易日涨幅</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+30.14%</w:t>
            </w:r>
          </w:p>
        </w:tc>
        <w:tc>
          <w:tcPr>
            <w:tcW w:type="dxa" w:w="4500"/>
            <w:tcMar>
              <w:top w:type="dxa" w:w="80"/>
              <w:left w:type="dxa" w:w="100"/>
              <w:bottom w:type="dxa" w:w="80"/>
              <w:right w:type="dxa" w:w="100"/>
            </w:tcMar>
            <w:vAlign w:val="center"/>
          </w:tcPr>
          <w:p>
            <w:pPr>
              <w:jc w:val="center"/>
            </w:pPr>
            <w:r>
              <w:rPr>
                <w:b w:val="false"/>
                <w:bCs w:val="false"/>
                <w:color w:val="000000"/>
                <w:sz w:val="20"/>
                <w:szCs w:val="20"/>
              </w:rPr>
              <w:t xml:space="preserve">短期涨幅较大，波动风险上升。</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近20个交易日涨幅</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+16.58%</w:t>
            </w:r>
          </w:p>
        </w:tc>
        <w:tc>
          <w:tcPr>
            <w:tcW w:type="dxa" w:w="4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中短期趋势向上。</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均线</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MA5 24.82 / MA10 23.77 / MA20 23.87 / MA60 22.05</w:t>
            </w:r>
          </w:p>
        </w:tc>
        <w:tc>
          <w:tcPr>
            <w:tcW w:type="dxa" w:w="4500"/>
            <w:tcMar>
              <w:top w:type="dxa" w:w="80"/>
              <w:left w:type="dxa" w:w="100"/>
              <w:bottom w:type="dxa" w:w="80"/>
              <w:right w:type="dxa" w:w="100"/>
            </w:tcMar>
            <w:vAlign w:val="center"/>
          </w:tcPr>
          <w:p>
            <w:pPr>
              <w:jc w:val="center"/>
            </w:pPr>
            <w:r>
              <w:rPr>
                <w:b w:val="false"/>
                <w:bCs w:val="false"/>
                <w:color w:val="000000"/>
                <w:sz w:val="20"/>
                <w:szCs w:val="20"/>
              </w:rPr>
              <w:t xml:space="preserve">收盘价高于各均线，短期均线支撑在23.77~24.82元。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MACD（DIF/DEA/柱）</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DIF 0.669 / DEA 0.378 / 柱 0.582</w:t>
            </w:r>
          </w:p>
        </w:tc>
        <w:tc>
          <w:tcPr>
            <w:tcW w:type="dxa" w:w="4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DIF高于DEA，柱值较前一日扩大。</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RSI（6/14）</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RSI6 79.5 / RSI14 68.6</w:t>
            </w:r>
          </w:p>
        </w:tc>
        <w:tc>
          <w:tcPr>
            <w:tcW w:type="dxa" w:w="4500"/>
            <w:tcMar>
              <w:top w:type="dxa" w:w="80"/>
              <w:left w:type="dxa" w:w="100"/>
              <w:bottom w:type="dxa" w:w="80"/>
              <w:right w:type="dxa" w:w="100"/>
            </w:tcMar>
            <w:vAlign w:val="center"/>
          </w:tcPr>
          <w:p>
            <w:pPr>
              <w:jc w:val="center"/>
            </w:pPr>
            <w:r>
              <w:rPr>
                <w:b w:val="false"/>
                <w:bCs w:val="false"/>
                <w:color w:val="000000"/>
                <w:sz w:val="20"/>
                <w:szCs w:val="20"/>
              </w:rPr>
              <w:t xml:space="preserve">短周期偏热，追涨后回撤风险增加。</w:t>
            </w:r>
          </w:p>
        </w:tc>
      </w:tr>
    </w:tbl>
    <w:p>
      <w:pPr>
        <w:spacing w:before="200"/>
      </w:pPr>
    </w:p>
    <w:p>
      <w:pPr>
        <w:pStyle w:val="Heading2"/>
        <w:spacing w:after="120" w:before="240"/>
      </w:pPr>
      <w:r>
        <w:rPr>
          <w:b/>
          <w:bCs/>
          <w:color w:val="2E74B5"/>
          <w:sz w:val="24"/>
          <w:szCs w:val="24"/>
        </w:rPr>
        <w:t xml:space="preserve">8.2 关键价位</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5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26.54~27.98元</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布林上轨至近20日高点；有效突破27.98元，关注向52周高点37.62元拓展。</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23.77~24.82元</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MA10、MA20与MA5附近；跌破后可能回测21.21~22.05元区域。</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21.21~22.05元</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布林下轨与MA60附近；若失守，可能向52周低点17.62元寻求支撑。</w:t>
            </w:r>
          </w:p>
        </w:tc>
      </w:tr>
    </w:tbl>
    <w:p>
      <w:pPr>
        <w:spacing w:before="200"/>
      </w:pPr>
    </w:p>
    <w:p>
      <w:pPr>
        <w:pStyle w:val="Heading2"/>
        <w:spacing w:after="120" w:before="240"/>
      </w:pPr>
      <w:r>
        <w:rPr>
          <w:b/>
          <w:bCs/>
          <w:color w:val="2E74B5"/>
          <w:sz w:val="24"/>
          <w:szCs w:val="24"/>
        </w:rPr>
        <w:t xml:space="preserve">8.3 按历史波动率测算的一周区间</w:t>
      </w:r>
    </w:p>
    <w:p>
      <w:pPr>
        <w:spacing w:after="160" w:line="300"/>
      </w:pPr>
      <w:r>
        <w:rPr>
          <w:sz w:val="22"/>
          <w:szCs w:val="22"/>
        </w:rPr>
        <w:t xml:space="preserve">以2026-10-12价格27.98元为基准，用近300个交易日的收益分布（按当前指数加权日波动率约5.0%缩放，保留这只股票自身的大涨大跌频率）推算未来5个交易日的收盘价范围：</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200"/>
        <w:gridCol w:w="3700"/>
        <w:gridCol w:w="40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覆盖概率</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价格区间</w:t>
            </w:r>
          </w:p>
        </w:tc>
        <w:tc>
          <w:tcPr>
            <w:tcW w:type="dxa" w:w="4000"/>
            <w:shd w:fill="1F4E79" w:val="clear"/>
            <w:tcMar>
              <w:top w:type="dxa" w:w="80"/>
              <w:left w:type="dxa" w:w="100"/>
              <w:bottom w:type="dxa" w:w="80"/>
              <w:right w:type="dxa" w:w="100"/>
            </w:tcMar>
            <w:vAlign w:val="center"/>
          </w:tcPr>
          <w:p>
            <w:pPr>
              <w:jc w:val="center"/>
            </w:pPr>
            <w:r>
              <w:rPr>
                <w:b/>
                <w:bCs/>
                <w:color w:val="FFFFFF"/>
                <w:sz w:val="20"/>
                <w:szCs w:val="20"/>
              </w:rPr>
              <w:t xml:space="preserve">相对基准</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约68%</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25.31～31.31元</w:t>
            </w:r>
          </w:p>
        </w:tc>
        <w:tc>
          <w:tcPr>
            <w:tcW w:type="dxa" w:w="4000"/>
            <w:tcMar>
              <w:top w:type="dxa" w:w="80"/>
              <w:left w:type="dxa" w:w="100"/>
              <w:bottom w:type="dxa" w:w="80"/>
              <w:right w:type="dxa" w:w="100"/>
            </w:tcMar>
            <w:vAlign w:val="center"/>
          </w:tcPr>
          <w:p>
            <w:pPr>
              <w:jc w:val="center"/>
            </w:pPr>
            <w:r>
              <w:rPr>
                <w:b w:val="false"/>
                <w:bCs w:val="false"/>
                <w:color w:val="000000"/>
                <w:sz w:val="20"/>
                <w:szCs w:val="20"/>
              </w:rPr>
              <w:t xml:space="preserve">-9.5%～+11.9%</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约95%</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22.84～40.54元</w:t>
            </w:r>
          </w:p>
        </w:tc>
        <w:tc>
          <w:tcPr>
            <w:tcW w:type="dxa" w:w="4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-18.4%～+44.9%</w:t>
            </w:r>
          </w:p>
        </w:tc>
      </w:tr>
    </w:tbl>
    <w:p>
      <w:pPr>
        <w:spacing w:before="200"/>
      </w:pPr>
    </w:p>
    <w:p>
      <w:pPr>
        <w:spacing w:after="200"/>
      </w:pPr>
      <w:r>
        <w:rPr>
          <w:i/>
          <w:iCs/>
          <w:color w:val="595959"/>
          <w:sz w:val="18"/>
          <w:szCs w:val="18"/>
        </w:rPr>
        <w:t xml:space="preserve">该区间只反映这只股票近期的波动幅度，不含涨跌方向判断；遇到重大公告或大盘急跌，实际走势仍可能超出区间。</w:t>
      </w:r>
    </w:p>
    <w:p>
      <w:pPr>
        <w:pStyle w:val="Heading2"/>
        <w:spacing w:after="120" w:before="240"/>
      </w:pPr>
      <w:r>
        <w:rPr>
          <w:b/>
          <w:bCs/>
          <w:color w:val="2E74B5"/>
          <w:sz w:val="24"/>
          <w:szCs w:val="24"/>
        </w:rPr>
        <w:t xml:space="preserve">8.4 未来一周情景（主观权重，非统计概率）</w:t>
      </w:r>
    </w:p>
    <w:p>
      <w:pPr>
        <w:pStyle w:val="ListParagraph"/>
        <w:numPr>
          <w:ilvl w:val="0"/>
          <w:numId w:val="2"/>
        </w:numPr>
        <w:spacing w:after="80" w:line="280"/>
      </w:pPr>
      <w:r>
        <w:rPr>
          <w:b/>
          <w:bCs/>
          <w:sz w:val="22"/>
          <w:szCs w:val="22"/>
        </w:rPr>
        <w:t xml:space="preserve">高位震荡整理（相对权重较高，约五成）</w:t>
      </w:r>
      <w:r>
        <w:rPr>
          <w:sz w:val="22"/>
          <w:szCs w:val="22"/>
        </w:rPr>
        <w:t xml:space="preserve">：26.54~27.98元；若未有效突破27.98元且成交回落，可能围绕高位整理。按历史波动率测算，一周后收盘落在该区间的概率约20%。</w:t>
      </w:r>
    </w:p>
    <w:p>
      <w:pPr>
        <w:pStyle w:val="ListParagraph"/>
        <w:numPr>
          <w:ilvl w:val="0"/>
          <w:numId w:val="2"/>
        </w:numPr>
        <w:spacing w:after="80" w:line="280"/>
      </w:pPr>
      <w:r>
        <w:rPr>
          <w:b/>
          <w:bCs/>
          <w:sz w:val="22"/>
          <w:szCs w:val="22"/>
        </w:rPr>
        <w:t xml:space="preserve">偏弱回落（权重中等，约三成）</w:t>
      </w:r>
      <w:r>
        <w:rPr>
          <w:sz w:val="22"/>
          <w:szCs w:val="22"/>
        </w:rPr>
        <w:t xml:space="preserve">：21.21~26.54元；若跌破第一支撑23.77~24.82元，关注布林下轨及MA60承接。按历史波动率测算，一周后收盘落在该区间的概率约30%。</w:t>
      </w:r>
    </w:p>
    <w:p>
      <w:pPr>
        <w:pStyle w:val="ListParagraph"/>
        <w:numPr>
          <w:ilvl w:val="0"/>
          <w:numId w:val="2"/>
        </w:numPr>
        <w:spacing w:after="80" w:line="280"/>
      </w:pPr>
      <w:r>
        <w:rPr>
          <w:b/>
          <w:bCs/>
          <w:sz w:val="22"/>
          <w:szCs w:val="22"/>
        </w:rPr>
        <w:t xml:space="preserve">放量反弹走强（权重偏低，约两成）</w:t>
      </w:r>
      <w:r>
        <w:rPr>
          <w:sz w:val="22"/>
          <w:szCs w:val="22"/>
        </w:rPr>
        <w:t xml:space="preserve">：27.98~37.62元；若放量站上27.98元，且后续公告或板块表现配合，关注前期高点区域。按历史波动率测算，一周后收盘落在该区间的概率约50%。</w:t>
      </w:r>
    </w:p>
    <w:p>
      <w:pPr>
        <w:spacing w:after="200"/>
      </w:pPr>
      <w:r>
        <w:rPr>
          <w:i/>
          <w:iCs/>
          <w:color w:val="595959"/>
          <w:sz w:val="18"/>
          <w:szCs w:val="18"/>
        </w:rPr>
        <w:t xml:space="preserve">括号内是主观权重；句末的概率由上面的波动率区间反推，只反映波动幅度、不含方向判断。</w:t>
      </w:r>
    </w:p>
    <w:p>
      <w:pPr>
        <w:pStyle w:val="Heading2"/>
        <w:spacing w:after="120" w:before="240"/>
      </w:pPr>
      <w:r>
        <w:rPr>
          <w:b/>
          <w:bCs/>
          <w:color w:val="2E74B5"/>
          <w:sz w:val="24"/>
          <w:szCs w:val="24"/>
        </w:rPr>
        <w:t xml:space="preserve">8.5 资金与流动性</w:t>
      </w:r>
    </w:p>
    <w:p>
      <w:pPr>
        <w:spacing w:after="160" w:line="300"/>
      </w:pPr>
      <w:r>
        <w:rPr>
          <w:sz w:val="22"/>
          <w:szCs w:val="22"/>
        </w:rPr>
        <w:t xml:space="preserve">近10个交易日（2026-09-21~10-12）成交额约3.59亿~21.18亿元、换手率约3.74%~17.84%，最新换手率17.84%。截至2026-06-30，前十大流通股东合计持股54.03%，包括个人股东及公募基金；披露有滞后，结构可能已变化。近期交易活跃，但持股集中可能影响实际流通筹码。</w:t>
      </w:r>
    </w:p>
    <w:p>
      <w:pPr>
        <w:spacing w:after="160" w:line="300"/>
      </w:pPr>
      <w:r>
        <w:rPr>
          <w:sz w:val="22"/>
          <w:szCs w:val="22"/>
        </w:rPr>
        <w:t xml:space="preserve">若后续单日成交额持续超过近10日区间上沿21.18亿元，且收盘站稳27.98元，可作为放量突破的确认信号。</w:t>
      </w:r>
    </w:p>
    <w:p>
      <w:pPr>
        <w:spacing w:after="200"/>
      </w:pPr>
      <w:r>
        <w:rPr>
          <w:i/>
          <w:iCs/>
          <w:color w:val="595959"/>
          <w:sz w:val="18"/>
          <w:szCs w:val="18"/>
        </w:rPr>
        <w:t xml:space="preserve">以上情景推演基于2026-10-12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公司概况 | 上海证券交易所 — https://www.sse.com.cn/assortment/stock/list/info/company/index.shtml?COMPANY_CODE=603533</w:t>
      </w:r>
    </w:p>
    <w:p>
      <w:pPr>
        <w:spacing w:after="200"/>
      </w:pPr>
      <w:r>
        <w:rPr>
          <w:i/>
          <w:iCs/>
          <w:color w:val="595959"/>
          <w:sz w:val="18"/>
          <w:szCs w:val="18"/>
        </w:rPr>
        <w:t xml:space="preserve">掌阅科技股份有限公司2025年年度报告 — https://stockmc.xueqiu.com/202604/603533_20260425_I20G.pdf</w:t>
      </w:r>
    </w:p>
    <w:p>
      <w:pPr>
        <w:spacing w:after="200"/>
      </w:pPr>
      <w:r>
        <w:rPr>
          <w:i/>
          <w:iCs/>
          <w:color w:val="595959"/>
          <w:sz w:val="18"/>
          <w:szCs w:val="18"/>
        </w:rPr>
        <w:t xml:space="preserve">掌阅科技(603533)_公司公告_掌阅科技：2025年年度报告新浪财经_新浪网 — https://vip.stock.finance.sina.com.cn/corp/view/vCB_AllBulletinDetail.php?id=12187821&amp;stockid=603533</w:t>
      </w:r>
    </w:p>
    <w:p>
      <w:pPr>
        <w:spacing w:after="200"/>
      </w:pPr>
      <w:r>
        <w:rPr>
          <w:i/>
          <w:iCs/>
          <w:color w:val="595959"/>
          <w:sz w:val="18"/>
          <w:szCs w:val="18"/>
        </w:rPr>
        <w:t xml:space="preserve">公司公告_掌阅科技：掌阅科技股份有限公司2021年年度报告新浪财经_新浪网 — https://vip.stock.finance.sina.com.cn/corp/view/vCB_AllBulletinDetail.php?id=8046076</w:t>
      </w:r>
    </w:p>
    <w:p>
      <w:pPr>
        <w:spacing w:after="200"/>
      </w:pPr>
      <w:r>
        <w:rPr>
          <w:i/>
          <w:iCs/>
          <w:color w:val="595959"/>
          <w:sz w:val="18"/>
          <w:szCs w:val="18"/>
        </w:rPr>
        <w:t xml:space="preserve">中文在线2025年营收16.57亿元同比增42.92%，归母净利润-6.71亿元同比降176.24%，净利率下降19.06个百分点|中文在线_新浪财经_新浪网 — https://finance.sina.com.cn/stock/aiassist/yjbg/2026-04-22/doc-inhvkyvy4230287.shtml</w:t>
      </w:r>
    </w:p>
    <w:p>
      <w:pPr>
        <w:spacing w:after="200"/>
      </w:pPr>
      <w:r>
        <w:rPr>
          <w:i/>
          <w:iCs/>
          <w:color w:val="595959"/>
          <w:sz w:val="18"/>
          <w:szCs w:val="18"/>
        </w:rPr>
        <w:t xml:space="preserve">掌阅科技股份有限公司2026年半年度报告 — https://static.cninfo.com.cn/finalpage/2026-08-27/1225510832.PDF</w:t>
      </w:r>
    </w:p>
    <w:p>
      <w:pPr>
        <w:spacing w:after="200"/>
      </w:pPr>
      <w:r>
        <w:rPr>
          <w:i/>
          <w:iCs/>
          <w:color w:val="595959"/>
          <w:sz w:val="18"/>
          <w:szCs w:val="18"/>
        </w:rPr>
        <w:t xml:space="preserve">掌阅科技股份有限公司2025年年度报告 — https://static.cninfo.com.cn/finalpage/2026-04-25/1225184483.PDF</w:t>
      </w:r>
    </w:p>
    <w:p>
      <w:pPr>
        <w:spacing w:after="200"/>
      </w:pPr>
      <w:r>
        <w:rPr>
          <w:i/>
          <w:iCs/>
          <w:color w:val="595959"/>
          <w:sz w:val="18"/>
          <w:szCs w:val="18"/>
        </w:rPr>
        <w:t xml:space="preserve">掌阅科技股份有限公司2024年年度报告 — https://static.cninfo.com.cn/finalpage/2025-04-19/1223154623.PDF</w:t>
      </w:r>
    </w:p>
    <w:p>
      <w:pPr>
        <w:spacing w:after="200"/>
      </w:pPr>
      <w:r>
        <w:rPr>
          <w:i/>
          <w:iCs/>
          <w:color w:val="595959"/>
          <w:sz w:val="18"/>
          <w:szCs w:val="18"/>
        </w:rPr>
        <w:t xml:space="preserve">掌阅科技股份有限公司2023年年度报告 — https://static.cninfo.com.cn/finalpage/2024-04-20/1219703129.PDF</w:t>
      </w:r>
    </w:p>
    <w:p>
      <w:pPr>
        <w:spacing w:after="200"/>
      </w:pPr>
      <w:r>
        <w:rPr>
          <w:i/>
          <w:iCs/>
          <w:color w:val="595959"/>
          <w:sz w:val="18"/>
          <w:szCs w:val="18"/>
        </w:rPr>
        <w:t xml:space="preserve">腾讯财经行情（2026-10-12） — https://gu.qq.com/sh603533</w:t>
      </w:r>
    </w:p>
    <w:p>
      <w:pPr>
        <w:spacing w:after="200"/>
      </w:pPr>
      <w:r>
        <w:rPr>
          <w:i/>
          <w:iCs/>
          <w:color w:val="595959"/>
          <w:sz w:val="18"/>
          <w:szCs w:val="18"/>
        </w:rPr>
        <w:t xml:space="preserve">东方财富F10 合并资产负债表（2026中报） — https://emweb.securities.eastmoney.com/pc_hsf10/pages/index.html?type=web&amp;code=SH603533#/cwfx</w:t>
      </w:r>
    </w:p>
    <w:p>
      <w:pPr>
        <w:spacing w:after="200"/>
      </w:pPr>
      <w:r>
        <w:rPr>
          <w:i/>
          <w:iCs/>
          <w:color w:val="595959"/>
          <w:sz w:val="18"/>
          <w:szCs w:val="18"/>
        </w:rPr>
        <w:t xml:space="preserve">东方财富 F10 盈利预测 — https://emweb.securities.eastmoney.com/pc_hsf10/pages/index.html?type=web&amp;code=SH603533#/ylyc</w:t>
      </w:r>
    </w:p>
    <w:p>
      <w:pPr>
        <w:spacing w:after="200"/>
      </w:pPr>
      <w:r>
        <w:rPr>
          <w:i/>
          <w:iCs/>
          <w:color w:val="595959"/>
          <w:sz w:val="18"/>
          <w:szCs w:val="18"/>
        </w:rPr>
        <w:t xml:space="preserve">掌阅科技:掌阅科技股份有限公司2026年半年度报告 — https://pdf.dfcfw.com/pdf/H2_AN202608261828486086_1.pdf</w:t>
      </w:r>
    </w:p>
    <w:p>
      <w:pPr>
        <w:spacing w:after="200"/>
      </w:pPr>
      <w:r>
        <w:rPr>
          <w:i/>
          <w:iCs/>
          <w:color w:val="595959"/>
          <w:sz w:val="18"/>
          <w:szCs w:val="18"/>
        </w:rPr>
        <w:t xml:space="preserve">掌阅科技：股票交易异常波动公告 — http://stock.10jqka.com.cn/20261012/c680603222.shtml</w:t>
      </w:r>
    </w:p>
    <w:p>
      <w:pPr>
        <w:spacing w:after="200"/>
      </w:pPr>
      <w:r>
        <w:rPr>
          <w:i/>
          <w:iCs/>
          <w:color w:val="595959"/>
          <w:sz w:val="18"/>
          <w:szCs w:val="18"/>
        </w:rPr>
        <w:t xml:space="preserve">【掌阅科技：股票交易异常波动 无应披露未披露重大事项】金十数据10月12日讯，掌阅科技公告，公司股票于2026年10月9日、10月12日连续两个交易日内日收盘价格涨幅偏离值累计超过20%，属于股票交易异常波动情形。经自查并向控股股东、实控人书面征询，截至公告披露日，公司及控股股东、实控人均不存在影响公司股票交易异常波动的应披露而未披露的重大事项，未发现对股价产生重大影响的媒体报道或市场传闻，董监高及实控人在异动期间未买卖公司股票。公司目前生产经营活动正常，提醒投资者注意二级市场交易风险。 — https://flash.jin10.com/detail/20261012170749652800</w:t>
      </w:r>
    </w:p>
    <w:p>
      <w:pPr>
        <w:spacing w:after="200"/>
      </w:pPr>
      <w:r>
        <w:rPr>
          <w:i/>
          <w:iCs/>
          <w:color w:val="595959"/>
          <w:sz w:val="18"/>
          <w:szCs w:val="18"/>
        </w:rPr>
        <w:t xml:space="preserve">掌阅科技：连续2个交易日收盘价涨幅偏离值累超20% — https://m.21jingji.com/timeline/1ba346566fd748cf39eb4fd95c47bd7f.html</w:t>
      </w:r>
    </w:p>
    <w:p>
      <w:pPr>
        <w:spacing w:after="200"/>
      </w:pPr>
      <w:r>
        <w:rPr>
          <w:i/>
          <w:iCs/>
          <w:color w:val="595959"/>
          <w:sz w:val="18"/>
          <w:szCs w:val="18"/>
        </w:rPr>
        <w:t xml:space="preserve">掌阅科技：连续2个交易日收盘价涨幅偏离值累超20% — https://finance.eastmoney.com/a/202610123892741083.html</w:t>
      </w:r>
    </w:p>
    <w:p>
      <w:pPr>
        <w:spacing w:after="200"/>
      </w:pPr>
      <w:r>
        <w:rPr>
          <w:i/>
          <w:iCs/>
          <w:color w:val="595959"/>
          <w:sz w:val="18"/>
          <w:szCs w:val="18"/>
        </w:rPr>
        <w:t xml:space="preserve">掌阅科技：股票连续两日涨幅偏离值超20% — https://www.chnfund.com/article/ac0d2230-73f9-8194-b5ed-3a2441875f24</w:t>
      </w:r>
    </w:p>
    <w:p>
      <w:pPr>
        <w:spacing w:after="200"/>
      </w:pPr>
      <w:r>
        <w:rPr>
          <w:i/>
          <w:iCs/>
          <w:color w:val="595959"/>
          <w:sz w:val="18"/>
          <w:szCs w:val="18"/>
        </w:rPr>
        <w:t xml:space="preserve">掌阅科技: 掌阅科技股份有限公司股票交易异常波动公告内容摘要 — https://stock.stockstar.com/AN2026101200029834.shtml</w:t>
      </w:r>
    </w:p>
    <w:p>
      <w:pPr>
        <w:spacing w:after="200"/>
      </w:pPr>
      <w:r>
        <w:rPr>
          <w:i/>
          <w:iCs/>
          <w:color w:val="595959"/>
          <w:sz w:val="18"/>
          <w:szCs w:val="18"/>
        </w:rPr>
        <w:t xml:space="preserve">掌阅科技连续2个交易日收盘价格涨幅偏离值累计超20% — https://www.sohu.com/a/1086792874_122014422?scm=10001.7746_13-119000.0.0-0-0-0-0.0&amp;spm=smpc.channel_354.block3_32_P7Ovbu_1_fd.1.1791797780509uAr3YA5_7746</w:t>
      </w:r>
    </w:p>
    <w:p>
      <w:pPr>
        <w:spacing w:after="200"/>
      </w:pPr>
      <w:r>
        <w:rPr>
          <w:i/>
          <w:iCs/>
          <w:color w:val="595959"/>
          <w:sz w:val="18"/>
          <w:szCs w:val="18"/>
        </w:rPr>
        <w:t xml:space="preserve">掌阅科技: 掌阅科技股份有限公司股票交易异常波动公告 — https://stock.stockstar.com/notice/SN2026101300000246.shtml</w:t>
      </w:r>
    </w:p>
    <w:p>
      <w:pPr>
        <w:spacing w:after="200"/>
      </w:pPr>
      <w:r>
        <w:rPr>
          <w:i/>
          <w:iCs/>
          <w:color w:val="595959"/>
          <w:sz w:val="18"/>
          <w:szCs w:val="18"/>
        </w:rPr>
        <w:t xml:space="preserve">东方财富 个股资金流向 — https://data.eastmoney.com/zjlx/603533.html</w:t>
      </w:r>
    </w:p>
    <w:p>
      <w:pPr>
        <w:spacing w:after="200"/>
      </w:pPr>
      <w:r>
        <w:rPr>
          <w:i/>
          <w:iCs/>
          <w:color w:val="595959"/>
          <w:sz w:val="18"/>
          <w:szCs w:val="18"/>
        </w:rPr>
        <w:t xml:space="preserve">东方财富 股东研究 — https://emweb.securities.eastmoney.com/pc_hsf10/pages/index.html?type=web&amp;code=SH603533#/gdyj</w:t>
      </w:r>
    </w:p>
    <w:p>
      <w:pPr>
        <w:spacing w:after="200"/>
      </w:pPr>
      <w:r>
        <w:rPr>
          <w:i/>
          <w:iCs/>
          <w:color w:val="595959"/>
          <w:sz w:val="18"/>
          <w:szCs w:val="18"/>
        </w:rPr>
        <w:t xml:space="preserve">本报告由AI基于公开渠道信息自动检索、整理并生成，信息截至 2026-10-12收盘，可能存在时效性差异，具体数据请以公司正式公告及权威数据终端为准。本报告仅为信息整理与研究参考，不构成任何投资建议，投资者应独立判断并自行承担投资风险。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2026-10-12T21:21:40.234Z</dcterms:created>
  <dcterms:modified xsi:type="dcterms:W3CDTF">2026-10-12T21:21:40.234Z</dcterms:modified>
</cp:coreProperties>
</file>

<file path=docProps/custom.xml><?xml version="1.0" encoding="utf-8"?>
<Properties xmlns="http://schemas.openxmlformats.org/officeDocument/2006/custom-properties" xmlns:vt="http://schemas.openxmlformats.org/officeDocument/2006/docPropsVTypes"/>
</file>