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普莱柯生物工程股份有限公司 (603566)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行业：兽用药品制造</w:t>
      </w:r>
    </w:p>
    <w:p>
      <w:pPr>
        <w:jc w:val="center"/>
      </w:pPr>
      <w:r>
        <w:rPr>
          <w:color w:val="595959"/>
          <w:sz w:val="22"/>
          <w:szCs w:val="22"/>
        </w:rPr>
        <w:t xml:space="preserve">报告日期：2026年9月13日</w:t>
      </w:r>
    </w:p>
    <w:p>
      <w:pPr>
        <w:jc w:val="center"/>
      </w:pPr>
      <w:r>
        <w:rPr>
          <w:color w:val="595959"/>
          <w:sz w:val="20"/>
          <w:szCs w:val="20"/>
        </w:rPr>
        <w:t xml:space="preserve">截至2026年9月11日收盘</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普莱柯2026年上半年经营表现明显承压：实现营业收入4.9127亿元，同比下降12.18%；归母净利润7732.42万元，同比下降33.45%；扣非归母净利润6428.75万元，同比下降35.80%；经营活动现金流量净额7807.02万元，同比下降59.98%。其中，2026年第二季度收入约2.42亿元、归母净利润约3659.1万元，分别同比下降约13.8%和42.2%，利润降幅显著高于收入降幅，显示盈利能力仍在走弱。</w:t>
      </w:r>
    </w:p>
    <w:p>
      <w:pPr>
        <w:spacing w:after="160" w:line="300"/>
      </w:pPr>
      <w:r>
        <w:rPr>
          <w:sz w:val="22"/>
          <w:szCs w:val="22"/>
        </w:rPr>
        <w:t xml:space="preserve">公司业务覆盖兽用生物制品、化学药品、中兽药及宠物健康产品，拥有较完整的产品结构和研发平台。2025年禽用疫苗及抗体收入约4.85亿元、化学药品收入约2.54亿元、宠物板块收入超过6200万元，均实现增长，但猪用疫苗收入约2.63亿元、同比下降约21.75%，猪用业务恢复仍是业绩修复的重要变量。2025年归母净利润同比增长99.33%至1.8499亿元，但非经常性损益约6149.94万元，占归母净利润约33.24%，持续盈利质量仍应重点参考扣非利润。</w:t>
      </w:r>
    </w:p>
    <w:p>
      <w:pPr>
        <w:spacing w:after="160" w:line="300"/>
      </w:pPr>
      <w:r>
        <w:rPr>
          <w:sz w:val="22"/>
          <w:szCs w:val="22"/>
        </w:rPr>
        <w:t xml:space="preserve">公司中长期增长依托疫苗研发平台、禽苗和化药产品增长、宠物业务扩张及新品注册。近期子公司取得含南非1型口蹄疫疫苗临时批准文号，并获得氟雷拉纳莫昔克丁滴剂国家二类新兽药注册证书，但相关产品仍需完成批签发或取得产品批准文号，实际上市和收入贡献存在不确定性。公司同时终止部分宠物疫苗扩建项目，涉及剩余募集资金约2.04亿元，反映其对宠物医疗市场短期需求和扩产必要性的判断趋于谨慎。</w:t>
      </w:r>
    </w:p>
    <w:p>
      <w:pPr>
        <w:spacing w:after="160" w:line="300"/>
      </w:pPr>
      <w:r>
        <w:rPr>
          <w:sz w:val="22"/>
          <w:szCs w:val="22"/>
        </w:rPr>
        <w:t xml:space="preserve">截至2026年9月11日，股价收于10.26元，动态PE约23.8—24.3倍，低于MA5、MA10和MA20，近几个交易日连续走弱，主力资金当日及近5个交易日整体净流出。RSI6约27、接近短线超卖，但RSI14约45—46，尚未进入典型中期极端超卖区域；10.05—10.20元为重要观察支撑，10.60—10.85元为短期压力区。当前估值已包含一定利润恢复和新业务增长预期，后续需要基本面改善与量价修复相互验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603566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普莱柯</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注册地址及办公地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河南省洛阳市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主要从事兽用生物制品、兽用化学药品、中兽药及宠物健康相关产品的研发、生产和销售，服务对象覆盖生猪、家禽、反刍动物及犬猫等宠物，产品用于动物疫病预防、治疗和宠物健康管理。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产能与产品线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2024年年报披露拥有6个生产基地、60余条生产线，可生产80多种生物制品和200多种化学药品；2025年年报摘要披露可生产近100种生物制品、200多种化学药品和上百种宠物保健品。产线数量不等同于有效产能，具体设计产能和利用率缺失。</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研发投入与技术平台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2024年研发投入约1.06亿元，占营业收入10.17%；拥有国家兽用药品工程技术研究中心、国家级企业技术中心等研发平台，P3实验室于2024年获得CNAS实验室认可并投入运行。</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猪用疫苗及药品：2024年收入约3.36亿元，毛利率82.66%，收入同比下降22.58%，毛利率较上年下降1.23个百分点。代表产品包括猪圆支二联灭活疫苗、“圆柯欣”、猪传染性胃肠炎—猪流行性腹泻二联疫苗及注射用头孢噻呋等。</w:t>
      </w:r>
    </w:p>
    <w:p>
      <w:pPr>
        <w:pStyle w:val="ListParagraph"/>
        <w:numPr>
          <w:ilvl w:val="0"/>
          <w:numId w:val="2"/>
        </w:numPr>
        <w:spacing w:after="80" w:line="280"/>
      </w:pPr>
      <w:r>
        <w:rPr>
          <w:sz w:val="22"/>
          <w:szCs w:val="22"/>
        </w:rPr>
        <w:t xml:space="preserve">禽用疫苗及抗体：2024年收入约4.29亿元，同比增长3.31%，毛利率56.22%，为收入规模最大的单项产品类别；高致病性禽流感产品2024年收入同比增长超过30%。</w:t>
      </w:r>
    </w:p>
    <w:p>
      <w:pPr>
        <w:pStyle w:val="ListParagraph"/>
        <w:numPr>
          <w:ilvl w:val="0"/>
          <w:numId w:val="2"/>
        </w:numPr>
        <w:spacing w:after="80" w:line="280"/>
      </w:pPr>
      <w:r>
        <w:rPr>
          <w:sz w:val="22"/>
          <w:szCs w:val="22"/>
        </w:rPr>
        <w:t xml:space="preserve">化学药品：覆盖头孢噻呋、盐酸多西环素、恩诺沙星、氟苯尼考、加米霉素及复方非泼罗尼滴剂等畜禽抗感染、驱虫和宠物用药。2024年收入约2.23亿元，同比下降41.19%，毛利率39.38%，较上年下降2.80个百分点。</w:t>
      </w:r>
    </w:p>
    <w:p>
      <w:pPr>
        <w:pStyle w:val="ListParagraph"/>
        <w:numPr>
          <w:ilvl w:val="0"/>
          <w:numId w:val="2"/>
        </w:numPr>
        <w:spacing w:after="80" w:line="280"/>
      </w:pPr>
      <w:r>
        <w:rPr>
          <w:sz w:val="22"/>
          <w:szCs w:val="22"/>
        </w:rPr>
        <w:t xml:space="preserve">宠物疫苗、宠物药品及宠物保健品：布局猫三联疫苗、狂犬病疫苗、体外驱虫药、抗菌药、皮肤及耳道用药、功能性保健品和宠物供应链产品。2024年实现销售收入超过4,600万元，截至2024年末通过经销商覆盖超过8,000家宠物医院。</w:t>
      </w:r>
    </w:p>
    <w:p>
      <w:pPr>
        <w:pStyle w:val="ListParagraph"/>
        <w:numPr>
          <w:ilvl w:val="0"/>
          <w:numId w:val="2"/>
        </w:numPr>
        <w:spacing w:after="80" w:line="280"/>
      </w:pPr>
      <w:r>
        <w:rPr>
          <w:sz w:val="22"/>
          <w:szCs w:val="22"/>
        </w:rPr>
        <w:t xml:space="preserve">功能性保健品和技术许可：2024年功能性保健品等业务收入约1,865万元，毛利率56.51%；技术许可或转让收入约983万元，毛利率99.97%，但收入金额较小，不能视为稳定的主营收入来源。</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普莱柯处于动物保健产业链中游，覆盖兽用生物制品、化学药品、中兽药及宠物健康产品的研发、生产和销售，具备较完整的产品结构和较强的疫苗研发平台。</w:t>
      </w:r>
    </w:p>
    <w:p>
      <w:pPr>
        <w:pStyle w:val="ListParagraph"/>
        <w:numPr>
          <w:ilvl w:val="0"/>
          <w:numId w:val="2"/>
        </w:numPr>
        <w:spacing w:after="80" w:line="280"/>
      </w:pPr>
      <w:r>
        <w:rPr>
          <w:sz w:val="22"/>
          <w:szCs w:val="22"/>
        </w:rPr>
        <w:t xml:space="preserve">生物制品所需投入包括菌毒种、抗原、培养基、细胞培养相关材料、佐剂及其他生物原材料；化学药品所需投入包括原料药、药用辅料和化学合成中间体；此外还需采购玻璃瓶、胶塞、包装材料、冷链、生产设备、能源、机物料和实验室耗材。</w:t>
      </w:r>
    </w:p>
    <w:p>
      <w:pPr>
        <w:pStyle w:val="ListParagraph"/>
        <w:numPr>
          <w:ilvl w:val="0"/>
          <w:numId w:val="2"/>
        </w:numPr>
        <w:spacing w:after="80" w:line="280"/>
      </w:pPr>
      <w:r>
        <w:rPr>
          <w:sz w:val="22"/>
          <w:szCs w:val="22"/>
        </w:rPr>
        <w:t xml:space="preserve">2024年兽用生物制品材料成本约1.13亿元，占该类产品成本28.38%；人工成本约4,706万元，占11.86%。2022年年报披露化学药品材料成本约1.49亿元，占该类产品成本78.36%，表明化药业务对原料药及化学原材料价格更敏感。</w:t>
      </w:r>
    </w:p>
    <w:p>
      <w:pPr>
        <w:pStyle w:val="ListParagraph"/>
        <w:numPr>
          <w:ilvl w:val="0"/>
          <w:numId w:val="2"/>
        </w:numPr>
        <w:spacing w:after="80" w:line="280"/>
      </w:pPr>
      <w:r>
        <w:rPr>
          <w:sz w:val="22"/>
          <w:szCs w:val="22"/>
        </w:rPr>
        <w:t xml:space="preserve">公司不是资源型企业，不具备对大宗化学原料的资源控制和定价权，整体上是原料和部分生产要素的价格接受者。上游议价能力主要来自集中采购、供应商管理、质量标准和长期合作。</w:t>
      </w:r>
    </w:p>
    <w:p>
      <w:pPr>
        <w:pStyle w:val="ListParagraph"/>
        <w:numPr>
          <w:ilvl w:val="0"/>
          <w:numId w:val="2"/>
        </w:numPr>
        <w:spacing w:after="80" w:line="280"/>
      </w:pPr>
      <w:r>
        <w:rPr>
          <w:sz w:val="22"/>
          <w:szCs w:val="22"/>
        </w:rPr>
        <w:t xml:space="preserve">2025年年报摘要披露，公司统筹各生产基地原料需求、统一质量标准，并通过质量、成本、交期和服务等指标评价供应商，结合市场、总成本和需求分析优化采购方案。</w:t>
      </w:r>
    </w:p>
    <w:p>
      <w:pPr>
        <w:pStyle w:val="ListParagraph"/>
        <w:numPr>
          <w:ilvl w:val="0"/>
          <w:numId w:val="2"/>
        </w:numPr>
        <w:spacing w:after="80" w:line="280"/>
      </w:pPr>
      <w:r>
        <w:rPr>
          <w:sz w:val="22"/>
          <w:szCs w:val="22"/>
        </w:rPr>
        <w:t xml:space="preserve">本次检索到的2024年年度报告文本未发现前五大供应商采购金额及占比，因此供应商集中度缺失，无法据此判断供应商集中风险。</w:t>
      </w:r>
    </w:p>
    <w:p>
      <w:pPr>
        <w:pStyle w:val="ListParagraph"/>
        <w:numPr>
          <w:ilvl w:val="0"/>
          <w:numId w:val="2"/>
        </w:numPr>
        <w:spacing w:after="80" w:line="280"/>
      </w:pPr>
      <w:r>
        <w:rPr>
          <w:sz w:val="22"/>
          <w:szCs w:val="22"/>
        </w:rPr>
        <w:t xml:space="preserve">下游客户包括大型生猪养殖集团和规模化猪场、家禽养殖集团及养殖场、反刍动物养殖客户、兽医主管部门对应的政府采购体系，以及宠物医院、宠物诊所、宠物经销商和线上宠物消费渠道。</w:t>
      </w:r>
    </w:p>
    <w:p>
      <w:pPr>
        <w:pStyle w:val="ListParagraph"/>
        <w:numPr>
          <w:ilvl w:val="0"/>
          <w:numId w:val="2"/>
        </w:numPr>
        <w:spacing w:after="80" w:line="280"/>
      </w:pPr>
      <w:r>
        <w:rPr>
          <w:sz w:val="22"/>
          <w:szCs w:val="22"/>
        </w:rPr>
        <w:t xml:space="preserve">2025年年报摘要披露，公司对大型规模畜禽养殖集团和宠物线上渠道主要采用直销方式；对中小型养殖场、家庭农场和宠物线下B端用户主要通过经销商销售；部分强制免疫产品采用政府采购模式。</w:t>
      </w:r>
    </w:p>
    <w:p>
      <w:pPr>
        <w:pStyle w:val="ListParagraph"/>
        <w:numPr>
          <w:ilvl w:val="0"/>
          <w:numId w:val="2"/>
        </w:numPr>
        <w:spacing w:after="80" w:line="280"/>
      </w:pPr>
      <w:r>
        <w:rPr>
          <w:sz w:val="22"/>
          <w:szCs w:val="22"/>
        </w:rPr>
        <w:t xml:space="preserve">2024年主营业务直销收入约5.96亿元，毛利率68.57%；经销商模式收入约4.14亿元，毛利率51.09%；政府采购收入约1,360万元，毛利率50.94%。直销毛利率高于经销商模式，反映经销环节的渠道费用、返利和价格让渡会压低利润率。</w:t>
      </w:r>
    </w:p>
    <w:p>
      <w:pPr>
        <w:pStyle w:val="ListParagraph"/>
        <w:numPr>
          <w:ilvl w:val="0"/>
          <w:numId w:val="2"/>
        </w:numPr>
        <w:spacing w:after="80" w:line="280"/>
      </w:pPr>
      <w:r>
        <w:rPr>
          <w:sz w:val="22"/>
          <w:szCs w:val="22"/>
        </w:rPr>
        <w:t xml:space="preserve">大型养殖集团规模化、集约化和智能化水平提高，增强了对上游动保企业的议价能力。行业价格和订单受到养殖周期、养殖利润、疫病发生、招投标、规模客户集中采购及产品同质化竞争共同影响。</w:t>
      </w:r>
    </w:p>
    <w:p>
      <w:pPr>
        <w:pStyle w:val="ListParagraph"/>
        <w:numPr>
          <w:ilvl w:val="0"/>
          <w:numId w:val="2"/>
        </w:numPr>
        <w:spacing w:after="80" w:line="280"/>
      </w:pPr>
      <w:r>
        <w:rPr>
          <w:sz w:val="22"/>
          <w:szCs w:val="22"/>
        </w:rPr>
        <w:t xml:space="preserve">本次检索未找到2024年或2025年年报披露的前五大客户销售占比。2022年年报仅披露不存在单个客户销售比例超过总额50%的情形；该数据年份较早，不能直接代表2024年或2025年客户集中度，且未能以最新年报交叉核实。</w:t>
      </w:r>
    </w:p>
    <w:p>
      <w:pPr>
        <w:pStyle w:val="ListParagraph"/>
        <w:numPr>
          <w:ilvl w:val="0"/>
          <w:numId w:val="2"/>
        </w:numPr>
        <w:spacing w:after="80" w:line="280"/>
      </w:pPr>
      <w:r>
        <w:rPr>
          <w:sz w:val="22"/>
          <w:szCs w:val="22"/>
        </w:rPr>
        <w:t xml:space="preserve">2024年经营活动产生的现金流量净额约2.69亿元，同比下降4.95%，年报解释主要与销售订单和相应回款减少有关；公司同时披露持续加强应收账款催收和客户信用管理。本次可直接检索的年报文本未能提取2024年末应收账款余额、应收账款周转天数及应收账款占营业收入比例，因此无法精确判断公司是否通过延长账期换取大客户订单。</w:t>
      </w:r>
    </w:p>
    <w:p>
      <w:pPr>
        <w:pStyle w:val="ListParagraph"/>
        <w:numPr>
          <w:ilvl w:val="0"/>
          <w:numId w:val="2"/>
        </w:numPr>
        <w:spacing w:after="80" w:line="280"/>
      </w:pPr>
      <w:r>
        <w:rPr>
          <w:sz w:val="22"/>
          <w:szCs w:val="22"/>
        </w:rPr>
        <w:t xml:space="preserve">上游前五大供应商采购金额及占比、下游2024年和2025年前五大客户销售占比均缺失。现有客户集中度信息仅来自2022年年报，披露不存在单个客户销售比例超过总额50%的情形；该数据较早，来源和年份存在局限，不能据此断言当前客户集中度较低。</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合并销售毛利率约62.63%；公司主营业务毛利率约63.32%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销售净利率约13.64%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营业收入约12.28亿元，归母净利润约1.68亿元。收入增长主要受化学药品销量增长及猪用、禽用产品需求支撑；材料、人工、折旧及销售费用上升，对盈利形成一定压力。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合并销售毛利率约61.01%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销售净利率约13.93%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营业收入约12.53亿元，归母净利润约1.75亿元。收入规模基本稳定，但行业竞争、产品价格压力及养殖客户议价能力增强，毛利率较2022年有所下降。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合并销售毛利率约61.09%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销售净利率约8.90%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营业收入约10.43亿元，归母净利润约0.93亿元。猪用疫苗订单减少、化药收入大幅下降及下游养殖结构集中化导致收入和利润下滑；销售规模下降、费用及资产运营效率压力使净利率明显下降。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合并销售毛利率约59.87%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销售净利率约16.97%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约10.90亿元，归母净利润约1.85亿元。收入同比增长4.54%，归母净利润同比增长99.33%。利润修复可能与产品结构、费用控制、资产减值或非经营性因素共同有关，仅凭年报摘要不能将修复全部归因于主营业务改善；毛利率数据主要来自AAStocks第三方平台，最终应以完整年报为准。</w:t>
            </w:r>
          </w:p>
        </w:tc>
      </w:tr>
    </w:tbl>
    <w:p>
      <w:pPr>
        <w:spacing w:before="200"/>
      </w:pPr>
    </w:p>
    <w:p>
      <w:pPr>
        <w:spacing w:after="160" w:line="300"/>
      </w:pPr>
      <w:r>
        <w:rPr>
          <w:sz w:val="22"/>
          <w:szCs w:val="22"/>
        </w:rPr>
        <w:t xml:space="preserve">公司位于动物保健产业链中游，属于研发和生产能力较强、产品结构较完整的兽药企业：上游缺乏生物和化学原料的资源型定价权，下游面对大型养殖集团及渠道客户的议价压力，但疫苗研发平台、注册产品储备和高毛利疫苗形成一定技术溢价。进一步改善利润主要取决于高毛利猪用疫苗恢复、禽用和宠物产品放量、化药产品结构升级、规模化生产降本及大客户直销占比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10.90亿元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同比增长4.54%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归母净利润1.8499亿元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同比增长99.33%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2.4924亿元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同比下降10.54%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归母净利润4073.42万元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同比下降23.01%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约2.4202亿元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约同比下降13.8%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归母净利润约3659.1万元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约同比下降42.2%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4.9127亿元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同比下降12.18%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归母净利润7732.42万元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同比下降33.45%</w:t>
            </w:r>
          </w:p>
        </w:tc>
      </w:tr>
    </w:tbl>
    <w:p>
      <w:pPr>
        <w:spacing w:after="200"/>
      </w:pPr>
      <w:r>
        <w:rPr>
          <w:i/>
          <w:iCs/>
          <w:color w:val="595959"/>
          <w:sz w:val="18"/>
          <w:szCs w:val="18"/>
        </w:rPr>
        <w:t xml:space="preserve">2026年第二季度单季数据为根据半年报和一季报披露数据计算所得。2026年上半年扣非归母净利润为6428.75万元，同比下降35.80%；基本每股收益0.23元，同比下降约32.35%；经营活动产生的现金流量净额7807.02万元，同比下降59.98%；加权平均净资产收益率2.95%，较上年同期下降1.42个百分点；期末归属于上市公司股东的净资产25.4649亿元，较2025年末下降2.28%。</w:t>
      </w:r>
    </w:p>
    <w:p>
      <w:pPr>
        <w:spacing w:after="160" w:line="300"/>
      </w:pPr>
      <w:r>
        <w:rPr>
          <w:sz w:val="22"/>
          <w:szCs w:val="22"/>
        </w:rPr>
        <w:t xml:space="preserve">2026年上半年公司收入、归母净利润和扣非归母净利润均同比下降，第二季度归母净利润降幅进一步扩大，利润下滑明显高于收入下滑，盈利能力仍承压。上半年毛利率约55.76%，同比下降约6.7个百分点；净利率约15.75%，较上年同期明显下降。2025年归母净利润高增长具有一定结构性因素，非经常性损益合计约6149.94万元，占归母净利润约33.24%，因此持续盈利能力更适合参考扣非归母净利润约1.23亿元。2025年业务方面，禽用疫苗及抗体收入约4.85亿元，同比增长13%；化学药品收入约2.54亿元，同比增长约13.9%；猪用疫苗收入约2.63亿元，同比下降约21.75%；宠物板块收入超过6200万元，同比增长约34%，但规模仍相对较小。</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主要来自截至2026年9月12日同花顺机构汇总，属于多机构研报摘录形成的终端汇总，不是公司官方指引，也不一定等同于Wind等更广覆盖范围的一致预期。代表性机构预测：华创证券预计2026—2028年归母净利润为1.83亿、2.17亿和2.40亿元，EPS为0.53元、0.63元和0.69元；国投证券预计归母净利润为1.89亿、2.20亿和2.50亿元；中原证券预计归母净利润为1.94亿、2.06亿和2.33亿元，EPS为0.56元、0.60元和0.67元。主要分歧在于猪用疫苗业务恢复速度、禽苗和化药增长幅度、宠物业务放量节奏，以及新品注册和商业化进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机构汇总均值约11.28亿元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机构汇总均值约1.83亿元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相较2025年实际归母净利润1.8499亿元，基本持平或小幅下滑；机构预测区间为1.44亿至1.99亿元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机构汇总均值约0.53元；预测区间0.42至0.58元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机构汇总均值约12.15亿元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机构汇总均值约2.15亿元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机构预测区间为2.06亿至2.21亿元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机构汇总均值约0.62元；预测区间0.60至0.64元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机构汇总均值约13.19亿元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机构汇总均值约2.41亿元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机构预测区间为2.33亿至2.49亿元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机构汇总均值约0.70元；预测区间0.67至0.72元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2026年5月12日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目标价13.25元；给予2026年25倍PE。判断猪苗业务短期承压，但宠物、禽苗、化药和海外业务有望贡献增量。</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增持-A</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首次给予该评级；按2026年24倍PE估值，给予6个月目标价13.20元。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采用PB估值，给予2026年约2.0倍PB，对应目标价16.82元。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富途汇总口径</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强力推荐45.46%，买入54.55%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近三个月共有11位分析师评级，无持有、跑输大盘或卖出评级；目标价平均14.44元，最高16.82元，最低13.20元。具体覆盖机构和计算方法需以平台完整页面为准。</w:t>
            </w:r>
          </w:p>
        </w:tc>
      </w:tr>
    </w:tbl>
    <w:p>
      <w:pPr>
        <w:spacing w:before="200"/>
      </w:pPr>
    </w:p>
    <w:p>
      <w:pPr>
        <w:spacing w:after="160" w:line="300"/>
      </w:pPr>
      <w:r>
        <w:rPr>
          <w:sz w:val="22"/>
          <w:szCs w:val="22"/>
        </w:rPr>
        <w:t xml:space="preserve">截至2026年9月11日，普莱柯收盘价约10.26元。按2025年EPS约0.5346元计算，静态PE约19.2倍；按2025年全年EPS约0.5346元、扣除2025年上半年EPS约0.34元并加上2026年上半年EPS约0.23元计算，TTM EPS约0.4246元，TTM PE约24.2倍，行情平台显示约24.8倍。按截至2026年6月30日调整前每股净资产约7.6979元计算，PB约1.33倍，行情平台显示约1.40倍。按机构预测均值计算，2026—2028年前瞻PE分别约19.4倍、16.5倍和14.7倍；按华创证券EPS预测计算，分别约19.4倍、16.3倍和14.9倍。当前估值不属于极端高估，但市场已对未来利润恢复和新业务增长给予一定预期。机构目标价区间为13.20—16.82元，公开目标价均值约14.44元；相对10.26元收盘价，华创证券、国投证券、中原证券及富途目标价均值对应的机械计算潜在上涨空间分别约29.1%、28.7%、64.0%和40.7%。上述目标价主要形成于2026年5月，早于2026年半年报披露，可能存在目标价滞后和后续盈利预测下调风险。估值判断的主要不确定性包括猪用疫苗业务能否企稳、禽苗及化药收入增速、宠物业务放量、新兽药注册进度，以及经营现金流能否恢复。</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2026年半年度报告：收入、利润及经营现金流同比下降</w:t>
      </w:r>
    </w:p>
    <w:p>
      <w:pPr>
        <w:spacing w:after="160" w:line="300"/>
      </w:pPr>
      <w:r>
        <w:rPr>
          <w:sz w:val="22"/>
          <w:szCs w:val="22"/>
        </w:rPr>
        <w:t xml:space="preserve">2026年8月25日，公司披露《2026年半年度报告》及摘要。2026年上半年实现营业收入4.9127亿元，同比下降12.18%；归属于上市公司股东的净利润7732.42万元，同比下降33.45%；扣除非经常性损益后的归母净利润6428.75万元，同比下降35.80%；经营活动产生的现金流量净额7807.02万元，同比下降59.98%；基本每股收益0.23元，同比下降32.35%。公司表示，业绩下滑主要受生猪出栏价格长期处于低位、动保行业竞争加剧及生物制品增值税适用税率上调等因素影响。公司同期调整家畜营销组织架构和业务模式，并加强费用管理、应收账款管理及技术服务。该公告显示公司主营业务面临下游养殖景气度和行业竞争压力，后续需关注回款、库存及应收账款变化。</w:t>
      </w:r>
    </w:p>
    <w:p>
      <w:pPr>
        <w:pStyle w:val="Heading2"/>
        <w:spacing w:after="120" w:before="240"/>
      </w:pPr>
      <w:r>
        <w:rPr>
          <w:b/>
          <w:bCs/>
          <w:color w:val="2E74B5"/>
          <w:sz w:val="24"/>
          <w:szCs w:val="24"/>
        </w:rPr>
        <w:t xml:space="preserve">4.2 子公司获批生产含南非1型口蹄疫疫苗</w:t>
      </w:r>
    </w:p>
    <w:p>
      <w:pPr>
        <w:spacing w:after="160" w:line="300"/>
      </w:pPr>
      <w:r>
        <w:rPr>
          <w:sz w:val="22"/>
          <w:szCs w:val="22"/>
        </w:rPr>
        <w:t xml:space="preserve">2026年7月22日，公司披露控股子公司中普生物制药有限公司获农业农村部核发两款疫苗的兽药产品批准文号，分别为猪口蹄疫O型、南非1型二价灭活疫苗，以及牛羊口蹄疫O型、A型、南非1型三价灭活疫苗。两款产品批准文号有效期均为2026年7月20日至2028年7月19日，针对当前流行毒株开发。中普生物现有生产线产能充足，但产品仍需履行兽药产品批签发程序后方可上市销售。本次为临时批准文号，后续能否取得正式生产批文存在不确定性，产品销售还取决于国家防疫政策、市场容量、动物疫情及各省免疫计划。</w:t>
      </w:r>
    </w:p>
    <w:p>
      <w:pPr>
        <w:pStyle w:val="Heading2"/>
        <w:spacing w:after="120" w:before="240"/>
      </w:pPr>
      <w:r>
        <w:rPr>
          <w:b/>
          <w:bCs/>
          <w:color w:val="2E74B5"/>
          <w:sz w:val="24"/>
          <w:szCs w:val="24"/>
        </w:rPr>
        <w:t xml:space="preserve">4.3 子公司取得国家二类新兽药注册证书</w:t>
      </w:r>
    </w:p>
    <w:p>
      <w:pPr>
        <w:spacing w:after="160" w:line="300"/>
      </w:pPr>
      <w:r>
        <w:rPr>
          <w:sz w:val="22"/>
          <w:szCs w:val="22"/>
        </w:rPr>
        <w:t xml:space="preserve">2026年8月25日，公司披露全资子公司洛阳惠中兽药有限公司与其他单位联合申报的“氟雷拉纳莫昔克丁滴剂”获批为国家二类新兽药。该产品主要成分为氟雷拉纳和莫昔克丁，主要用于治疗猫跳蚤感染、控制跳蚤过敏性皮炎，并用于治疗猫体内蛔虫感染。公司表示，该产品可扩大宠物用化学药品的适应症范围，具有体内外寄生虫协同驱杀作用。产品上市销售前仍需取得农业农村部核发的兽药产品批准文号，短期业绩贡献存在不确定性。</w:t>
      </w:r>
    </w:p>
    <w:p>
      <w:pPr>
        <w:pStyle w:val="Heading2"/>
        <w:spacing w:after="120" w:before="240"/>
      </w:pPr>
      <w:r>
        <w:rPr>
          <w:b/>
          <w:bCs/>
          <w:color w:val="2E74B5"/>
          <w:sz w:val="24"/>
          <w:szCs w:val="24"/>
        </w:rPr>
        <w:t xml:space="preserve">4.4 终止部分募集资金投资项目，涉及剩余资金约2.04亿元</w:t>
      </w:r>
    </w:p>
    <w:p>
      <w:pPr>
        <w:spacing w:after="160" w:line="300"/>
      </w:pPr>
      <w:r>
        <w:rPr>
          <w:sz w:val="22"/>
          <w:szCs w:val="22"/>
        </w:rPr>
        <w:t xml:space="preserve">公司于2026年6月15日披露拟终止“生物制品车间及配套设施改扩建项目”，并于2026年6月30日召开的2026年第二次临时股东会审议通过。该项目原计划投入募集资金21,482.05万元，截至2026年5月31日已投入约2,712.55万元，剩余募集资金20,407.20万元，含利息、理财收益及待支付质保金等。截至2026年6月30日，剩余未投入募集资金金额为20,398.52万元。终止原因包括宠物医疗类消费市场表现不及预期、行业竞争加剧，以及公司原有生产线经新版兽药GMP升级改造后已具备生产宠物用疫苗的能力，现有产能能够覆盖当前及未来一段时期的市场需求。终止后，剩余募集资金继续存放于募集资金专户集中管理。该事项有助于减少需求不明朗情况下的资本开支，但也反映公司对宠物疫苗扩产项目的短期需求判断趋于谨慎。</w:t>
      </w:r>
    </w:p>
    <w:p>
      <w:pPr>
        <w:pStyle w:val="Heading2"/>
        <w:spacing w:after="120" w:before="240"/>
      </w:pPr>
      <w:r>
        <w:rPr>
          <w:b/>
          <w:bCs/>
          <w:color w:val="2E74B5"/>
          <w:sz w:val="24"/>
          <w:szCs w:val="24"/>
        </w:rPr>
        <w:t xml:space="preserve">4.5 使用不超过2.1亿元闲置募集资金进行现金管理</w:t>
      </w:r>
    </w:p>
    <w:p>
      <w:pPr>
        <w:spacing w:after="160" w:line="300"/>
      </w:pPr>
      <w:r>
        <w:rPr>
          <w:sz w:val="22"/>
          <w:szCs w:val="22"/>
        </w:rPr>
        <w:t xml:space="preserve">2026年8月25日，公司公告拟使用不超过人民币2.1亿元暂时闲置募集资金进行现金管理，投资于安全性高、流动性好的保本型理财产品，额度可在12个月内滚动使用。该事项已经2026年8月24日召开的第六届董事会第四次会议审议通过，无需提交股东会审议。截至2026年6月30日，公司募集资金余额约2.0399亿元，原有现金管理授权额度为2.1亿元，报告期末现金管理余额约2.03亿元。该事项不改变募集资金用途，主要用于提高闲置募集资金使用效率，但仍存在市场波动等投资风险。</w:t>
      </w:r>
    </w:p>
    <w:p>
      <w:pPr>
        <w:pStyle w:val="Heading2"/>
        <w:spacing w:after="120" w:before="240"/>
      </w:pPr>
      <w:r>
        <w:rPr>
          <w:b/>
          <w:bCs/>
          <w:color w:val="2E74B5"/>
          <w:sz w:val="24"/>
          <w:szCs w:val="24"/>
        </w:rPr>
        <w:t xml:space="preserve">4.6 2025年度利润分配实施</w:t>
      </w:r>
    </w:p>
    <w:p>
      <w:pPr>
        <w:spacing w:after="160" w:line="300"/>
      </w:pPr>
      <w:r>
        <w:rPr>
          <w:sz w:val="22"/>
          <w:szCs w:val="22"/>
        </w:rPr>
        <w:t xml:space="preserve">公司于2026年6月9日披露2025年度权益分派实施公告，向全体股东每10股派发现金红利4.00元（含税）。股权登记日为2026年6月15日，除权除息日及红利发放日为2026年6月16日。该分红事项属于年度股东会批准后的执行事项，不属于新的回购或资本运作计划。公司此前披露，2025年度归属于上市公司股东的净利润为1.8499亿元，2025年度现金分红比例较高。</w:t>
      </w:r>
    </w:p>
    <w:p>
      <w:pPr>
        <w:pStyle w:val="Heading2"/>
        <w:spacing w:after="120" w:before="240"/>
      </w:pPr>
      <w:r>
        <w:rPr>
          <w:b/>
          <w:bCs/>
          <w:color w:val="2E74B5"/>
          <w:sz w:val="24"/>
          <w:szCs w:val="24"/>
        </w:rPr>
        <w:t xml:space="preserve">4.7 股东结构整体稳定，未发现近期重大减持、增持或质押风险公告</w:t>
      </w:r>
    </w:p>
    <w:p>
      <w:pPr>
        <w:spacing w:after="160" w:line="300"/>
      </w:pPr>
      <w:r>
        <w:rPr>
          <w:sz w:val="22"/>
          <w:szCs w:val="22"/>
        </w:rPr>
        <w:t xml:space="preserve">截至2026年6月30日，第一大股东张许科持有1.09299亿股，占总股本31.58%，报告期内持股未发生变化；孙进忠持股1702.72万股，占4.92%，报告期内未发生变化；胡伟持股338.67万股，占0.98%，报告期内未发生变化。前十大股东中，上海证大资产管理有限公司旗下基金持股减少78.96万股，期末持股476.34万股、占1.38%；刘兴金持股增加18.15万股，期末持股299.99万股、占0.87%。上述变化来自半年报前十大股东统计，不能据此推断为近期持续性交易行为。截至2026年9月13日，检索到的公司公告和公开信息中，未发现控股股东、实际控制人或董监高新发布的大额减持计划、增持计划或质押风险公告。</w:t>
      </w:r>
    </w:p>
    <w:p>
      <w:pPr>
        <w:pStyle w:val="Heading2"/>
        <w:spacing w:after="120" w:before="240"/>
      </w:pPr>
      <w:r>
        <w:rPr>
          <w:b/>
          <w:bCs/>
          <w:color w:val="2E74B5"/>
          <w:sz w:val="24"/>
          <w:szCs w:val="24"/>
        </w:rPr>
        <w:t xml:space="preserve">4.8 未发现2026年6月至9月期间新增股份回购及近期业绩预告</w:t>
      </w:r>
    </w:p>
    <w:p>
      <w:pPr>
        <w:spacing w:after="160" w:line="300"/>
      </w:pPr>
      <w:r>
        <w:rPr>
          <w:sz w:val="22"/>
          <w:szCs w:val="22"/>
        </w:rPr>
        <w:t xml:space="preserve">截至2026年9月13日，近期公告列表中未发现公司针对2026年年度业绩发布新的业绩预告或业绩预警，最近一期正式业绩信息为2026年半年度报告。同期未检索到新增股份回购方案、回购进展或回购注销公告。</w:t>
      </w:r>
    </w:p>
    <w:p>
      <w:pPr>
        <w:pStyle w:val="Heading2"/>
        <w:spacing w:after="120" w:before="240"/>
      </w:pPr>
      <w:r>
        <w:rPr>
          <w:b/>
          <w:bCs/>
          <w:color w:val="2E74B5"/>
          <w:sz w:val="24"/>
          <w:szCs w:val="24"/>
        </w:rPr>
        <w:t xml:space="preserve">4.9 未发现近期重大并购重组、监管处罚或整改事项</w:t>
      </w:r>
    </w:p>
    <w:p>
      <w:pPr>
        <w:spacing w:after="160" w:line="300"/>
      </w:pPr>
      <w:r>
        <w:rPr>
          <w:sz w:val="22"/>
          <w:szCs w:val="22"/>
        </w:rPr>
        <w:t xml:space="preserve">截至2026年9月13日，未检索到公司近期披露重大并购、资产重组、控制权变更或重大对外投资事项。截至2026年半年度报告及近期公告，未发现公司及控股股东、实际控制人因违法违规受到监管处罚或整改的披露。上述“未发现”结论基于上交所公告索引、公司公告列表及多家公告数据库的定向检索，不等同于对所有市场传闻或尚未公告事项的绝对排除。</w:t>
      </w:r>
    </w:p>
    <w:p>
      <w:pPr>
        <w:pStyle w:val="Heading2"/>
        <w:spacing w:after="120" w:before="240"/>
      </w:pPr>
      <w:r>
        <w:rPr>
          <w:b/>
          <w:bCs/>
          <w:color w:val="2E74B5"/>
          <w:sz w:val="24"/>
          <w:szCs w:val="24"/>
        </w:rPr>
        <w:t xml:space="preserve">4.10 2026年9月最新进展：召开半年度业绩说明会</w:t>
      </w:r>
    </w:p>
    <w:p>
      <w:pPr>
        <w:spacing w:after="160" w:line="300"/>
      </w:pPr>
      <w:r>
        <w:rPr>
          <w:sz w:val="22"/>
          <w:szCs w:val="22"/>
        </w:rPr>
        <w:t xml:space="preserve">公司已公告于2026年9月2日召开2026年半年度业绩说明会。截至2026年9月13日，公开公告列表中暂未发现9月新增的重大回购、并购、股东减持、监管处罚或业绩预告事项。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普莱柯</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603566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10.26元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10.43元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10.19元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约258万股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约2647万元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按总股本估算约0.75%；不同平台可能因流通股本口径、成交量取值和更新时间不同而存在小幅差异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约35亿—36亿元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约23.8—24.3倍，存在行情口径和更新时间差异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14.65元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9.56元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9月8日至9月11日收盘价依次为10.80元、10.69元、10.53元、10.26元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价格连续走弱，9月11日跌幅扩大，收盘接近日内低位，短线卖压较前几日增强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约10.59元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收盘价10.26元低于MA5，短线价格跌破近期主要均线成本区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约10.53元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收盘价低于MA10，短线动能偏弱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约10.45元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收盘价低于MA20，当前尚不能简单视为有效多头排列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处于短线偏弱、接近超卖区域，存在技术性反抽可能，但不代表趋势反转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约45—46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处于中性偏弱区间，尚未达到典型的14日极端超卖水平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MACD(12,26,9)</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缺少能够交叉核实且明确截至2026年9月11日收盘的具体数值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不直接判断DIF、DEA或MACD柱值；是否形成新的死叉或绿柱放大，需要完整日线序列并统一复权口径后计算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布林中轨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约10.45元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收盘价位于布林中轨下方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布林上轨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约10.82—10.85元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对应短期反弹压力区域；有效放量突破后，才具备进一步修复的量价条件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布林下轨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约10.07—10.10元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收盘价尚未有效跌破下轨；若跌破10.05元附近并伴随放量，技术形态可能由区间震荡转为向下扩散</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截至2026年9月11日当日及近5个交易日整体呈净流出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页面未公开可核实的具体净流出金额，仅采用方向性结论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成交量与成交额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近期日均成交量大致在200万—470万股，日成交额大致在2100万—4900万元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9月7日至9月11日成交量约为356万、344万、268万、241万和258万股，近期呈价格下跌但成交量未明显放大的特征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截至2026年6月30日，前十大股东合计持股约47.43%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筹码存在一定集中度，但未披露前十大股东之间存在一致行动关系，不能将该比例简单等同于一致行动控制比例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截至2026年6月30日，45家主力机构持股约2616.87万股，占流通A股7.56%；其中基金41家、一般法人3家、阳光私募1家</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机构持股比例不高，且较2025年12月31日出现一定程度的减仓；数据存在滞后，不能视为2026年9月11日实时持仓结构</w:t>
            </w:r>
          </w:p>
        </w:tc>
      </w:tr>
    </w:tbl>
    <w:p>
      <w:pPr>
        <w:spacing w:before="200"/>
      </w:pPr>
    </w:p>
    <w:p>
      <w:pPr>
        <w:spacing w:after="160" w:line="300"/>
      </w:pPr>
      <w:r>
        <w:rPr>
          <w:sz w:val="22"/>
          <w:szCs w:val="22"/>
        </w:rPr>
        <w:t xml:space="preserve">截至2026年9月11日，普莱柯收盘价10.26元，连续多个交易日走弱，并低于MA5、MA10和MA20，短线技术形态偏弱。RSI6约27，显示短线接近超卖，但RSI14约45—46，尚未进入典型的中期极端超卖区域，因此技术性反抽与趋势继续走弱均需结合价格位置和成交量确认。股价目前位于布林中轨下方、下轨上方，10.05—10.20元区域是近期重要观察支撑。资金面上，当日及近5个交易日主力资金整体净流出，近期成交额处于约2100万—4900万元区间，交易活跃度相对有限。</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风险提示：以下内容仅为基于截至2026年9月11日收盘数据和历史价格的主观情景推演，不构成投资建议，也不构成买卖、持有或止损指令。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10.60—10.85元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对应MA5约10.59元、近期收盘密集区及布林上轨约10.82—10.85元。若放量站回10.85元上方，可观察11.00—11.30元区域；若反弹至该区间后缩量受阻，仍属于弱势反抽。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10.05—10.20元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接近9月11日最低价10.19元及估算布林下轨10.07—10.10元。若缩量企稳，存在技术性反弹可能；若放量跌破10.05元，价格可能向52周低点附近寻找支撑。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9.56—9.80元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包含截至2026年9月11日的52周低点9.56元。若10.05元附近失守，该区间成为下一观察区域；若强支撑也被有效跌破，短线下降趋势可能进一步延续。</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较高，约五成；不是统计概率）：价格运行区间为10.05—10.65元。触发条件包括10.05—10.20元附近未出现明显放量破位，成交额维持近期约2000万—5000万元水平，且股价重新收回10.40—10.50元附近的MA20和布林中轨区域。RSI6偏低但主力资金仍偏流出，较适合定义为弱势震荡或技术性反复观察。</w:t>
      </w:r>
    </w:p>
    <w:p>
      <w:pPr>
        <w:pStyle w:val="ListParagraph"/>
        <w:numPr>
          <w:ilvl w:val="0"/>
          <w:numId w:val="2"/>
        </w:numPr>
        <w:spacing w:after="80" w:line="280"/>
      </w:pPr>
      <w:r>
        <w:rPr>
          <w:sz w:val="22"/>
          <w:szCs w:val="22"/>
        </w:rPr>
        <w:t xml:space="preserve">偏弱下行（主观启发式权重中等，约三成；不是统计概率）：价格运行区间为9.56—10.05元。触发条件包括收盘价有效跌破10.05元，同时成交额升至5000万元以上、主力资金继续净流出，或大盘、农林牧渔及动物保健板块同步走弱。若布林下轨和近期低点同时失守，可能向52周低点9.56元附近寻找支撑；放量本身不能单独判断是抛压释放还是资金承接。</w:t>
      </w:r>
    </w:p>
    <w:p>
      <w:pPr>
        <w:pStyle w:val="ListParagraph"/>
        <w:numPr>
          <w:ilvl w:val="0"/>
          <w:numId w:val="2"/>
        </w:numPr>
        <w:spacing w:after="80" w:line="280"/>
      </w:pPr>
      <w:r>
        <w:rPr>
          <w:sz w:val="22"/>
          <w:szCs w:val="22"/>
        </w:rPr>
        <w:t xml:space="preserve">反弹走强（主观启发式权重偏低，约两成；不是统计概率）：价格运行区间为10.60—11.00元，强势时观察11.20元附近。触发条件包括单日成交额持续放大至5000万—6000万元以上，股价重新站上10.60元并进一步突破10.85元附近压力和布林上轨，同时主力资金由净流出转为连续净流入。RSI6偏低提供技术反抽条件，但机构持仓比例有限、资金方向偏流出，仍需要明确的量价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成交量约258万股、成交额约2647万元、按总股本估算换手率约0.75%；近期多数交易日成交额约2000万—5000万元，主力资金近5个交易日整体净流出。股东数据截至2026年6月30日：前十大股东合计持股约47.43%，机构持股约占流通A股7.56%，其中包括基金、一般法人和阳光私募，但机构持仓比例不高。由于股东数据距离行情日期已有约两个半月，期间持仓可能发生变化，只能作为筹码背景。结合近期成交活跃度，低于5000万元的日成交额意味着买卖盘深度相对有限，关键位置可能出现较明显滑点；若成交额放大但价格不能同步收复压力位，需要观察是否为放量兑现或抛压增加。</w:t>
      </w:r>
    </w:p>
    <w:p>
      <w:pPr>
        <w:spacing w:after="160" w:line="300"/>
      </w:pPr>
      <w:r>
        <w:rPr>
          <w:sz w:val="22"/>
          <w:szCs w:val="22"/>
        </w:rPr>
        <w:t xml:space="preserve">可检查的量能确认信号是：若未来一周单日成交额连续达到5000万—6000万元以上，且收盘价同时站稳10.60元并进一步突破10.85元，可视为资金参与度较当前有所改善；若仅成交额放大但价格跌破10.05元，则更偏向下行压力释放，而非积极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观察10.05—10.20元支撑区能否缩量企稳，若有效跌破则关注9.56—9.80元强支撑区。</w:t>
      </w:r>
    </w:p>
    <w:p>
      <w:pPr>
        <w:pStyle w:val="ListParagraph"/>
        <w:numPr>
          <w:ilvl w:val="0"/>
          <w:numId w:val="2"/>
        </w:numPr>
        <w:spacing w:after="80" w:line="280"/>
      </w:pPr>
      <w:r>
        <w:rPr>
          <w:sz w:val="22"/>
          <w:szCs w:val="22"/>
        </w:rPr>
        <w:t xml:space="preserve">观察10.60—10.85元压力区能否在成交额放大配合下突破。</w:t>
      </w:r>
    </w:p>
    <w:p>
      <w:pPr>
        <w:pStyle w:val="ListParagraph"/>
        <w:numPr>
          <w:ilvl w:val="0"/>
          <w:numId w:val="2"/>
        </w:numPr>
        <w:spacing w:after="80" w:line="280"/>
      </w:pPr>
      <w:r>
        <w:rPr>
          <w:sz w:val="22"/>
          <w:szCs w:val="22"/>
        </w:rPr>
        <w:t xml:space="preserve">观察主力资金是否由近5日净流出转为连续净流入。</w:t>
      </w:r>
    </w:p>
    <w:p>
      <w:pPr>
        <w:pStyle w:val="ListParagraph"/>
        <w:numPr>
          <w:ilvl w:val="0"/>
          <w:numId w:val="2"/>
        </w:numPr>
        <w:spacing w:after="80" w:line="280"/>
      </w:pPr>
      <w:r>
        <w:rPr>
          <w:sz w:val="22"/>
          <w:szCs w:val="22"/>
        </w:rPr>
        <w:t xml:space="preserve">观察单日成交额能否持续超过5000万—6000万元。以上均为观察思路，非操作指令。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普莱柯所处的动物保健行业包括兽用生物制品、兽用化学药品及宠物健康产品等细分领域。行业既受动物疫病防控需求影响，也受到养殖周期、养殖利润、政府采购、规模化养殖客户议价及产品同质化竞争影响。公司年报引用的《兽药产业发展报告（2024年度）》显示，2024年全国有1,681家兽药生产企业，销售额合计约679.96亿元，毛利约191.79亿元；其中兽用生物制品集中度高于兽用化学药品。上述行业规模和集中度数据为公司年报引用口径，本纪要未单独取得报告原始全文。</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2024年全国兽药生产企业1,681家，销售额合计约679.96亿元，毛利约191.79亿元；兽用生物制品企业196家，销售额约154.01亿元，毛利约78.92亿元；兽用化学药品企业1,485家，销售额约525.95亿元，毛利约112.87亿元。</w:t>
      </w:r>
    </w:p>
    <w:p>
      <w:pPr>
        <w:pStyle w:val="ListParagraph"/>
        <w:numPr>
          <w:ilvl w:val="0"/>
          <w:numId w:val="2"/>
        </w:numPr>
        <w:spacing w:after="80" w:line="280"/>
      </w:pPr>
      <w:r>
        <w:rPr>
          <w:sz w:val="22"/>
          <w:szCs w:val="22"/>
        </w:rPr>
        <w:t xml:space="preserve">兽用生物制品中，大型和中型企业25家，占企业总数12.80%，销售额占比64.95%；兽用化学药品中，大型和中型企业75家，占企业总数5.05%，销售额占比57.40%。</w:t>
      </w:r>
    </w:p>
    <w:p>
      <w:pPr>
        <w:pStyle w:val="ListParagraph"/>
        <w:numPr>
          <w:ilvl w:val="0"/>
          <w:numId w:val="2"/>
        </w:numPr>
        <w:spacing w:after="80" w:line="280"/>
      </w:pPr>
      <w:r>
        <w:rPr>
          <w:sz w:val="22"/>
          <w:szCs w:val="22"/>
        </w:rPr>
        <w:t xml:space="preserve">生物制品涉及菌毒种、研发、注册、GMP生产和质量体系，进入壁垒相对较高，行业集中度高于化学药品；化学药品企业数量更多、产品同质化程度相对高，价格竞争更激烈。</w:t>
      </w:r>
    </w:p>
    <w:p>
      <w:pPr>
        <w:pStyle w:val="ListParagraph"/>
        <w:numPr>
          <w:ilvl w:val="0"/>
          <w:numId w:val="2"/>
        </w:numPr>
        <w:spacing w:after="80" w:line="280"/>
      </w:pPr>
      <w:r>
        <w:rPr>
          <w:sz w:val="22"/>
          <w:szCs w:val="22"/>
        </w:rPr>
        <w:t xml:space="preserve">下游养殖集团规模化程度提升，增强了采购议价能力；强制免疫疫苗市场化竞争加剧，招投标、集中采购和客户服务能力影响企业盈利。</w:t>
      </w:r>
    </w:p>
    <w:p>
      <w:pPr>
        <w:pStyle w:val="ListParagraph"/>
        <w:numPr>
          <w:ilvl w:val="0"/>
          <w:numId w:val="2"/>
        </w:numPr>
        <w:spacing w:after="80" w:line="280"/>
      </w:pPr>
      <w:r>
        <w:rPr>
          <w:sz w:val="22"/>
          <w:szCs w:val="22"/>
        </w:rPr>
        <w:t xml:space="preserve">技术平台、产品注册储备、质量稳定性、综合疫病解决方案和大客户服务能力是主要竞争要素；宠物疫苗和宠物药品是新的增长方向，但国产品牌仍需经历产品注册、医生教育、医院覆盖和消费者信任积累。</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瑞普生物（300119）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综合性动物保健企业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覆盖兽用生物制品、化学药品、宠物药品及相关动物保健产品，产品和客户结构与普莱柯较为接近，在猪用、禽用疫苗和兽用化药领域存在直接或部分重叠竞争。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中牧股份（600195）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综合动物保健平台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具有国有背景，覆盖动物疫苗、兽用化药、饲料及饲料添加剂等领域，在规模、品牌、政府采购和综合产品体系方面较强；普莱柯相对突出于市场化疫苗、基因工程疫苗、多联多价疫苗和研发驱动型产品。</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生物股份（600201）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兽用生物制品专业企业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长期聚焦兽用生物制品，在动物疫苗领域具有品牌、规模和市场影响力；普莱柯业务覆盖生物制品、化学药品、中兽药和宠物业务，产品结构相对更广。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科前生物（688526）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猪用生物制品专业企业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主要聚焦猪用疫苗和猪病防控产品，在猪用生物制品领域与普莱柯形成直接竞争；普莱柯在禽用疫苗、兽用化药和宠物业务方面更为多元。</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回盛生物（300871）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兽用化学药品和制剂企业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以兽用化学药品、制剂和动物保健产品为主，与普莱柯化药业务存在竞争；普莱柯在生物制品及高毛利疫苗方面的业务权重相对更高。</w:t>
            </w:r>
          </w:p>
        </w:tc>
      </w:tr>
    </w:tbl>
    <w:p>
      <w:pPr>
        <w:spacing w:before="200"/>
      </w:pPr>
    </w:p>
    <w:p>
      <w:pPr>
        <w:spacing w:after="160" w:line="300"/>
      </w:pPr>
      <w:r>
        <w:rPr>
          <w:sz w:val="22"/>
          <w:szCs w:val="22"/>
        </w:rPr>
        <w:t xml:space="preserve">普莱柯的特点是疫苗、化药、中兽药和宠物业务并重，依靠研发平台和较完整的产品结构参与竞争；瑞普生物强调综合动物保健平台和畜禽、宠物多元布局；中牧股份突出规模、国企背景、政府采购和综合产品能力；生物股份和科前生物分别在兽用生物制品及猪用疫苗领域更专业化；回盛生物主要在兽用化药和制剂领域竞争。上述公司并非所有产品均直接替代，比较应区分疫苗、化药、宠物药品和政府采购等细分市场。</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生猪养殖景气度和猪用疫苗需求恢复不及预期：公司2025年猪用疫苗收入约2.63亿元，同比下降约21.75%；2026年上半年业绩下滑又受到生猪出栏价格长期低位影响，若养殖客户盈利和免疫需求持续承压，猪用疫苗业务可能继续拖累收入和利润。</w:t>
      </w:r>
    </w:p>
    <w:p>
      <w:pPr>
        <w:pStyle w:val="ListParagraph"/>
        <w:numPr>
          <w:ilvl w:val="0"/>
          <w:numId w:val="2"/>
        </w:numPr>
        <w:spacing w:after="80" w:line="280"/>
      </w:pPr>
      <w:r>
        <w:rPr>
          <w:sz w:val="22"/>
          <w:szCs w:val="22"/>
        </w:rPr>
        <w:t xml:space="preserve">禽用疫苗及化药增长不及预期：2025年禽用疫苗及抗体、化学药品收入虽分别增长约13%和约13.9%，但2026年上半年公司整体收入和利润仍明显下降；若禽苗、化药增量不足以抵消猪苗下滑，收入修复和利润增长可能低于机构预测。</w:t>
      </w:r>
    </w:p>
    <w:p>
      <w:pPr>
        <w:pStyle w:val="ListParagraph"/>
        <w:numPr>
          <w:ilvl w:val="0"/>
          <w:numId w:val="2"/>
        </w:numPr>
        <w:spacing w:after="80" w:line="280"/>
      </w:pPr>
      <w:r>
        <w:rPr>
          <w:sz w:val="22"/>
          <w:szCs w:val="22"/>
        </w:rPr>
        <w:t xml:space="preserve">利润质量和非经常性损益波动风险：2025年归母净利润1.8499亿元，其中非经常性损益约6149.94万元，占比约33.24%；若后续非经常性收益减少，而扣非主营业务未同步改善，归母利润可能出现较大波动。</w:t>
      </w:r>
    </w:p>
    <w:p>
      <w:pPr>
        <w:pStyle w:val="ListParagraph"/>
        <w:numPr>
          <w:ilvl w:val="0"/>
          <w:numId w:val="2"/>
        </w:numPr>
        <w:spacing w:after="80" w:line="280"/>
      </w:pPr>
      <w:r>
        <w:rPr>
          <w:sz w:val="22"/>
          <w:szCs w:val="22"/>
        </w:rPr>
        <w:t xml:space="preserve">经营现金流和回款风险：2026年上半年经营活动现金流量净额仅7807.02万元，同比下降59.98%；公司已加强应收账款催收和客户信用管理，但当前可获得数据缺少应收账款余额及周转指标，若大客户回款周期延长，可能进一步压制现金流和资产运营效率。</w:t>
      </w:r>
    </w:p>
    <w:p>
      <w:pPr>
        <w:pStyle w:val="ListParagraph"/>
        <w:numPr>
          <w:ilvl w:val="0"/>
          <w:numId w:val="2"/>
        </w:numPr>
        <w:spacing w:after="80" w:line="280"/>
      </w:pPr>
      <w:r>
        <w:rPr>
          <w:sz w:val="22"/>
          <w:szCs w:val="22"/>
        </w:rPr>
        <w:t xml:space="preserve">新品注册及商业化风险：含南非1型口蹄疫疫苗目前为临时批准文号，仍需批签发并存在后续正式生产批文不确定性；氟雷拉纳莫昔克丁滴剂上市前仍需取得兽药产品批准文号，相关产品的国家防疫政策、市场容量、免疫计划及宠物渠道销售均可能影响实际收入贡献。</w:t>
      </w:r>
    </w:p>
    <w:p>
      <w:pPr>
        <w:pStyle w:val="ListParagraph"/>
        <w:numPr>
          <w:ilvl w:val="0"/>
          <w:numId w:val="2"/>
        </w:numPr>
        <w:spacing w:after="80" w:line="280"/>
      </w:pPr>
      <w:r>
        <w:rPr>
          <w:sz w:val="22"/>
          <w:szCs w:val="22"/>
        </w:rPr>
        <w:t xml:space="preserve">宠物业务扩张不及预期风险：公司终止生物制品车间及配套设施改扩建项目，剩余募集资金约2.04亿元，原因包括宠物医疗消费市场表现不及预期和行业竞争加剧；宠物板块虽保持增长，但规模仍相对较小，且新品需要经历医院覆盖、医生教育和消费者认可过程。</w:t>
      </w:r>
    </w:p>
    <w:p>
      <w:pPr>
        <w:pStyle w:val="ListParagraph"/>
        <w:numPr>
          <w:ilvl w:val="0"/>
          <w:numId w:val="2"/>
        </w:numPr>
        <w:spacing w:after="80" w:line="280"/>
      </w:pPr>
      <w:r>
        <w:rPr>
          <w:sz w:val="22"/>
          <w:szCs w:val="22"/>
        </w:rPr>
        <w:t xml:space="preserve">毛利率和竞争加剧风险：公司2026年上半年毛利率约55.76%，同比下降约6.7个百分点；下游大型养殖集团规模化和集中采购增强议价能力，化学药品同质化竞争较强，直销与经销渠道的价格让渡、返利及竞争压力可能继续压缩盈利空间。</w:t>
      </w:r>
    </w:p>
    <w:p>
      <w:pPr>
        <w:pStyle w:val="ListParagraph"/>
        <w:numPr>
          <w:ilvl w:val="0"/>
          <w:numId w:val="2"/>
        </w:numPr>
        <w:spacing w:after="80" w:line="280"/>
      </w:pPr>
      <w:r>
        <w:rPr>
          <w:sz w:val="22"/>
          <w:szCs w:val="22"/>
        </w:rPr>
        <w:t xml:space="preserve">股价与流动性风险：截至2026年9月11日股价低于MA5、MA10和MA20，主力资金近5个交易日整体净流出；近期日成交额约2100万—4900万元、换手率按总股本估算约0.75%，若关键支撑位放量跌破，低成交深度可能放大价格波动和交易滑点。</w:t>
      </w:r>
    </w:p>
    <w:p>
      <w:pPr>
        <w:pStyle w:val="ListParagraph"/>
        <w:numPr>
          <w:ilvl w:val="0"/>
          <w:numId w:val="2"/>
        </w:numPr>
        <w:spacing w:after="80" w:line="280"/>
      </w:pPr>
      <w:r>
        <w:rPr>
          <w:sz w:val="22"/>
          <w:szCs w:val="22"/>
        </w:rPr>
        <w:t xml:space="preserve">机构预测和估值修正风险：当前股价对应动态PE约23.8—24.3倍，市场已对利润恢复和新业务增长形成一定预期；部分机构目标价形成于2026年半年报披露前，若猪苗恢复、新品商业化或现金流改善低于预期，盈利预测和估值中枢可能面临下调。</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普莱柯具备兽用疫苗、化药和宠物健康业务的多元化布局，禽用疫苗及抗体、化学药品和宠物业务在2025年均出现增长，研发投入和技术平台也为新品注册及产品升级提供支撑。若猪用疫苗需求逐步企稳，禽苗和化药延续增长，宠物新品完成上市并形成销售，公司收入和利润仍存在修复空间；机构汇总预测2026—2028年归母净利润均值分别约为1.83亿元、2.15亿元和2.41亿元，但该预测并非公司官方指引，且主要分歧集中在猪苗恢复、禽苗及化药增速、宠物放量和新品商业化进度。</w:t>
      </w:r>
    </w:p>
    <w:p>
      <w:pPr>
        <w:spacing w:after="160" w:line="300"/>
      </w:pPr>
      <w:r>
        <w:rPr>
          <w:sz w:val="22"/>
          <w:szCs w:val="22"/>
        </w:rPr>
        <w:t xml:space="preserve">短期基本面仍处于调整阶段，2026年上半年收入、扣非利润和经营现金流同步下滑，毛利率约55.76%，同比下降约6.7个百分点；2025年利润高增长又包含较大非经常性损益因素。因此，后续观察重点包括猪用疫苗业务能否企稳、禽用和化药产品增长能否抵消猪苗下滑、宠物新品能否转化为实际收入，以及回款和经营现金流是否改善。技术面上，若股价持续位于均线和布林中轨下方，弱势格局可能延续；若重新收复10.60—10.85元并伴随成交额放大，则有助于改善市场对经营修复的确认度。</w:t>
      </w:r>
    </w:p>
    <w:p>
      <w:pPr>
        <w:spacing w:after="160" w:line="300"/>
      </w:pPr>
      <w:r>
        <w:rPr>
          <w:sz w:val="22"/>
          <w:szCs w:val="22"/>
        </w:rPr>
        <w:t xml:space="preserve">公司终止宠物疫苗扩建项目并将约2.04亿元闲置募集资金用于保本型现金管理，有助于降低需求不明朗情况下的资本开支，但也说明宠物疫苗扩产和市场需求仍需进一步验证。整体而言，公司成长逻辑仍在，但业绩修复对下游养殖景气、产品结构、客户回款和新品商业化依赖较高，估值能否获得支撑取决于主营业务改善是否具有持续性。</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普莱柯生物工程股份有限公司2024年年度报告 — https://static.cninfo.com.cn/finalpage/2025-04-25/1223280241.PDF</w:t>
      </w:r>
    </w:p>
    <w:p>
      <w:pPr>
        <w:spacing w:after="200"/>
      </w:pPr>
      <w:r>
        <w:rPr>
          <w:i/>
          <w:iCs/>
          <w:color w:val="595959"/>
          <w:sz w:val="18"/>
          <w:szCs w:val="18"/>
        </w:rPr>
        <w:t xml:space="preserve">普莱柯(603566)_公司公告_普莱柯：2024年年度报告新浪财经_新浪网 — https://money.finance.sina.com.cn/corp/view/vCB_AllBulletinDetail.php?id=10958083&amp;stockid=603566</w:t>
      </w:r>
    </w:p>
    <w:p>
      <w:pPr>
        <w:spacing w:after="200"/>
      </w:pPr>
      <w:r>
        <w:rPr>
          <w:i/>
          <w:iCs/>
          <w:color w:val="595959"/>
          <w:sz w:val="18"/>
          <w:szCs w:val="18"/>
        </w:rPr>
        <w:t xml:space="preserve">普莱柯(603566)_公司公告_普莱柯：2025年年度报告摘要新浪财经_新浪网 — https://money.finance.sina.com.cn/corp/view/vCB_AllBulletinDetail.php?id=12246305&amp;stockid=603566</w:t>
      </w:r>
    </w:p>
    <w:p>
      <w:pPr>
        <w:spacing w:after="200"/>
      </w:pPr>
      <w:r>
        <w:rPr>
          <w:i/>
          <w:iCs/>
          <w:color w:val="595959"/>
          <w:sz w:val="18"/>
          <w:szCs w:val="18"/>
        </w:rPr>
        <w:t xml:space="preserve">普莱柯(603566)_公司公告_普莱柯：2022年度报告新浪财经_新浪网 — https://vip.stock.finance.sina.com.cn/corp/view/vCB_AllBulletinDetail.php?id=9079569&amp;stockid=603566&amp;utm_source=openai</w:t>
      </w:r>
    </w:p>
    <w:p>
      <w:pPr>
        <w:spacing w:after="200"/>
      </w:pPr>
      <w:r>
        <w:rPr>
          <w:i/>
          <w:iCs/>
          <w:color w:val="595959"/>
          <w:sz w:val="18"/>
          <w:szCs w:val="18"/>
        </w:rPr>
        <w:t xml:space="preserve">PULIKE (603566.SH) - Earnings Summary — https://www.aastocks.com/en/cnhk/analysis/company-fundamental/earnings-summary?shsymbol=603566&amp;utm_source=openai</w:t>
      </w:r>
    </w:p>
    <w:p>
      <w:pPr>
        <w:spacing w:after="200"/>
      </w:pPr>
      <w:r>
        <w:rPr>
          <w:i/>
          <w:iCs/>
          <w:color w:val="595959"/>
          <w:sz w:val="18"/>
          <w:szCs w:val="18"/>
        </w:rPr>
        <w:t xml:space="preserve">普莱柯：公司同行业上市公司主要有中牧股份、生物股份、科前生物、瑞普生物和回盛生物等-药选址 — https://www.yaoxuanzhi.com/informationdetail?id=3f615dc64d85f20a76ac59f5eb6b2fff&amp;sourceType=park&amp;utm_source=openai</w:t>
      </w:r>
    </w:p>
    <w:p>
      <w:pPr>
        <w:spacing w:after="200"/>
      </w:pPr>
      <w:r>
        <w:rPr>
          <w:i/>
          <w:iCs/>
          <w:color w:val="595959"/>
          <w:sz w:val="18"/>
          <w:szCs w:val="18"/>
        </w:rPr>
        <w:t xml:space="preserve">高，占比为40.10%，生物制品占比为24.80%。公司长期聚焦兽用生物制品赛道，是国内兽用疫苗的领军企业，但相比于同行业可比公司，中牧股份产品覆盖涵盖动物用疫苗、化药高新制剂、饲料及饲料添加剂等多系列产品，普莱柯产品覆盖涵盖动物用疫苗、抗体、化药高新制剂、中兽药等多系列产品，而公司目前仅覆盖生物疫苗产品，市场规模占比最高的动物化药产品的缺失，不利于公司经营规模的进一步扩大，亦不利于公司为下游客户提供更全面完善的动物疫病防、控、治整体解决方案。 — https://static.sse.com.cn/stock/disclosure/announcement/c/202311/600201_20231114_CR20.pdf?utm_source=openai</w:t>
      </w:r>
    </w:p>
    <w:p>
      <w:pPr>
        <w:spacing w:after="200"/>
      </w:pPr>
      <w:r>
        <w:rPr>
          <w:i/>
          <w:iCs/>
          <w:color w:val="595959"/>
          <w:sz w:val="18"/>
          <w:szCs w:val="18"/>
        </w:rPr>
        <w:t xml:space="preserve">普莱柯(603566) 行业对比_F10_同花顺金融服务网 — https://basic.10jqka.com.cn/144/603566/field.html?utm_source=openai</w:t>
      </w:r>
    </w:p>
    <w:p>
      <w:pPr>
        <w:spacing w:after="200"/>
      </w:pPr>
      <w:r>
        <w:rPr>
          <w:i/>
          <w:iCs/>
          <w:color w:val="595959"/>
          <w:sz w:val="18"/>
          <w:szCs w:val="18"/>
        </w:rPr>
        <w:t xml:space="preserve">普莱柯生物工程股份有限公司2025年年度报告 — https://dataclouds.cninfo.com.cn/shgonggao/hsomarket/2026/20260428/48d0b33f929040f2a00654b674ed3f54.PDF?utm_source=openai</w:t>
      </w:r>
    </w:p>
    <w:p>
      <w:pPr>
        <w:spacing w:after="200"/>
      </w:pPr>
      <w:r>
        <w:rPr>
          <w:i/>
          <w:iCs/>
          <w:color w:val="595959"/>
          <w:sz w:val="18"/>
          <w:szCs w:val="18"/>
        </w:rPr>
        <w:t xml:space="preserve">普莱柯(603566)_公司公告_普莱柯：2026年半年度报告摘要新浪财经_新浪网 — https://money.finance.sina.com.cn/corp/view/vCB_AllBulletinDetail.php?id=12523930&amp;stockid=603566&amp;utm_source=openai</w:t>
      </w:r>
    </w:p>
    <w:p>
      <w:pPr>
        <w:spacing w:after="200"/>
      </w:pPr>
      <w:r>
        <w:rPr>
          <w:i/>
          <w:iCs/>
          <w:color w:val="595959"/>
          <w:sz w:val="18"/>
          <w:szCs w:val="18"/>
        </w:rPr>
        <w:t xml:space="preserve">普莱柯（603566）2026年中报简析：净利润同比下降33.45%，公司应收账款体量较大_股票频道_证券之星 — https://stock.stockstar.com/RB2026082600009412.shtml?utm_source=openai</w:t>
      </w:r>
    </w:p>
    <w:p>
      <w:pPr>
        <w:spacing w:after="200"/>
      </w:pPr>
      <w:r>
        <w:rPr>
          <w:i/>
          <w:iCs/>
          <w:color w:val="595959"/>
          <w:sz w:val="18"/>
          <w:szCs w:val="18"/>
        </w:rPr>
        <w:t xml:space="preserve">普莱柯2025年报解读：归母净利润增99.33% 销售费用降13.36%_新浪财经_新浪网 — https://finance.sina.com.cn/stock/aigc/stockfs/2026-04-29/doc-inhwcvfa7998304.shtml?utm_source=openai</w:t>
      </w:r>
    </w:p>
    <w:p>
      <w:pPr>
        <w:spacing w:after="200"/>
      </w:pPr>
      <w:r>
        <w:rPr>
          <w:i/>
          <w:iCs/>
          <w:color w:val="595959"/>
          <w:sz w:val="18"/>
          <w:szCs w:val="18"/>
        </w:rPr>
        <w:t xml:space="preserve">普莱柯(603566) 盈利预测_F10_同花顺金融服务网 — https://basic.10jqka.com.cn/144/603566/worth.html</w:t>
      </w:r>
    </w:p>
    <w:p>
      <w:pPr>
        <w:spacing w:after="200"/>
      </w:pPr>
      <w:r>
        <w:rPr>
          <w:i/>
          <w:iCs/>
          <w:color w:val="595959"/>
          <w:sz w:val="18"/>
          <w:szCs w:val="18"/>
        </w:rPr>
        <w:t xml:space="preserve">普莱柯(603566)2025年年报及2026年一季报点评：猪用疫苗承压 降本增效成果显著__新浪财经_新浪网 — https://vip.stock.finance.sina.com.cn/q/go.php/vReport_Show/kind/lastest/rptid/831625980253/index.phtml?utm_source=openai</w:t>
      </w:r>
    </w:p>
    <w:p>
      <w:pPr>
        <w:spacing w:after="200"/>
      </w:pPr>
      <w:r>
        <w:rPr>
          <w:i/>
          <w:iCs/>
          <w:color w:val="595959"/>
          <w:sz w:val="18"/>
          <w:szCs w:val="18"/>
        </w:rPr>
        <w:t xml:space="preserve">603566 | Pulike Biological Engineering Inc股市 - Investing.com — https://hk.investing.com/equities/pulike-biological-engineering-inc?utm_source=openai</w:t>
      </w:r>
    </w:p>
    <w:p>
      <w:pPr>
        <w:spacing w:after="200"/>
      </w:pPr>
      <w:r>
        <w:rPr>
          <w:i/>
          <w:iCs/>
          <w:color w:val="595959"/>
          <w:sz w:val="18"/>
          <w:szCs w:val="18"/>
        </w:rPr>
        <w:t xml:space="preserve">单股调研 — https://www.ashare-dashboard.com/stocks?ts_code=603566.SH&amp;utm_source=openai</w:t>
      </w:r>
    </w:p>
    <w:p>
      <w:pPr>
        <w:spacing w:after="200"/>
      </w:pPr>
      <w:r>
        <w:rPr>
          <w:i/>
          <w:iCs/>
          <w:color w:val="595959"/>
          <w:sz w:val="18"/>
          <w:szCs w:val="18"/>
        </w:rPr>
        <w:t xml:space="preserve">普莱柯(603566)财务指标_新浪财经_新浪网 — https://money.finance.sina.com.cn/corp/go.php/vFD_FinancialGuideLine/stockid/603566/displaytype/4.phtml?utm_source=openai</w:t>
      </w:r>
    </w:p>
    <w:p>
      <w:pPr>
        <w:spacing w:after="200"/>
      </w:pPr>
      <w:r>
        <w:rPr>
          <w:i/>
          <w:iCs/>
          <w:color w:val="595959"/>
          <w:sz w:val="18"/>
          <w:szCs w:val="18"/>
        </w:rPr>
        <w:t xml:space="preserve">利润分配 | 上海证券交易所 — https://www.sse.com.cn/assortment/stock/list/info/profit/index.shtml?COMPANY_CODE=603566&amp;utm_source=openai</w:t>
      </w:r>
    </w:p>
    <w:p>
      <w:pPr>
        <w:spacing w:after="200"/>
      </w:pPr>
      <w:r>
        <w:rPr>
          <w:i/>
          <w:iCs/>
          <w:color w:val="595959"/>
          <w:sz w:val="18"/>
          <w:szCs w:val="18"/>
        </w:rPr>
        <w:t xml:space="preserve">普莱柯生物工程股份有限公司2026年半年度报告摘要|上海证券报 — https://paper.cnstock.com/html/2026-08/25/content_2258647.htm?utm_source=openai</w:t>
      </w:r>
    </w:p>
    <w:p>
      <w:pPr>
        <w:spacing w:after="200"/>
      </w:pPr>
      <w:r>
        <w:rPr>
          <w:i/>
          <w:iCs/>
          <w:color w:val="595959"/>
          <w:sz w:val="18"/>
          <w:szCs w:val="18"/>
        </w:rPr>
        <w:t xml:space="preserve">上证e互动 — https://sns.sseinfo.com/company.do?stockcode=603566&amp;utm_source=openai</w:t>
      </w:r>
    </w:p>
    <w:p>
      <w:pPr>
        <w:spacing w:after="200"/>
      </w:pPr>
      <w:r>
        <w:rPr>
          <w:i/>
          <w:iCs/>
          <w:color w:val="595959"/>
          <w:sz w:val="18"/>
          <w:szCs w:val="18"/>
        </w:rPr>
        <w:t xml:space="preserve">Pulike Biological Engineering Inc (603566)歷史價格 - Investing.com — https://hk.investing.com/equities/pulike-biological-engineering-inc-historical-data?utm_source=openai</w:t>
      </w:r>
    </w:p>
    <w:p>
      <w:pPr>
        <w:spacing w:after="200"/>
      </w:pPr>
      <w:r>
        <w:rPr>
          <w:i/>
          <w:iCs/>
          <w:color w:val="595959"/>
          <w:sz w:val="18"/>
          <w:szCs w:val="18"/>
        </w:rPr>
        <w:t xml:space="preserve">Pulike Biological Engineering Inc股票技術分析 (603566) — https://hk.investing.com/equities/pulike-biological-engineering-inc-technical</w:t>
      </w:r>
    </w:p>
    <w:p>
      <w:pPr>
        <w:spacing w:after="200"/>
      </w:pPr>
      <w:r>
        <w:rPr>
          <w:i/>
          <w:iCs/>
          <w:color w:val="595959"/>
          <w:sz w:val="18"/>
          <w:szCs w:val="18"/>
        </w:rPr>
        <w:t xml:space="preserve">普莱柯(603566)近5日震荡行情主力资金净流出 9月11日现净流出 - 经济观察网 － 专业财经新闻网站 — https://www.eeo.com.cn/2026/0912/1033798.shtml?utm_source=openai</w:t>
      </w:r>
    </w:p>
    <w:p>
      <w:pPr>
        <w:spacing w:after="200"/>
      </w:pPr>
      <w:r>
        <w:rPr>
          <w:i/>
          <w:iCs/>
          <w:color w:val="595959"/>
          <w:sz w:val="18"/>
          <w:szCs w:val="18"/>
        </w:rPr>
        <w:t xml:space="preserve">普莱柯(603566)个股分析_牛叉诊股_同花顺财经 — https://doctor.10jqka.com.cn/603566/</w:t>
      </w:r>
    </w:p>
    <w:p>
      <w:pPr>
        <w:spacing w:after="200"/>
      </w:pPr>
      <w:r>
        <w:rPr>
          <w:i/>
          <w:iCs/>
          <w:color w:val="595959"/>
          <w:sz w:val="18"/>
          <w:szCs w:val="18"/>
        </w:rPr>
        <w:t xml:space="preserve">普莱柯(603566)_公司公告_普莱柯：2026年半年度报告新浪财经_新浪网 — https://money.finance.sina.com.cn/corp/view/vCB_AllBulletinDetail.php?id=12523929&amp;stockid=603566</w:t>
      </w:r>
    </w:p>
    <w:p>
      <w:pPr>
        <w:spacing w:after="200"/>
      </w:pPr>
      <w:r>
        <w:rPr>
          <w:i/>
          <w:iCs/>
          <w:color w:val="595959"/>
          <w:sz w:val="18"/>
          <w:szCs w:val="18"/>
        </w:rPr>
        <w:t xml:space="preserve">普莱柯 （sh603566）行情走势 — https://www.stcn.com/quotes/index/sh603566.html?utm_source=openai</w:t>
      </w:r>
    </w:p>
    <w:p>
      <w:pPr>
        <w:spacing w:after="200"/>
      </w:pPr>
      <w:r>
        <w:rPr>
          <w:i/>
          <w:iCs/>
          <w:color w:val="595959"/>
          <w:sz w:val="18"/>
          <w:szCs w:val="18"/>
        </w:rPr>
        <w:t xml:space="preserve">本报告由AI基于公开渠道信息自动检索、整理并生成，信息截至 截至2026年9月11日收盘，可能存在时效性差异，具体数据请以公司正式公告及权威数据终端为准。本报告仅为信息整理与研究参考，不构成任何投资建议，投资者应独立判断并自行承担投资风险。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2026-09-13T17:38:47.421Z</dcterms:created>
  <dcterms:modified xsi:type="dcterms:W3CDTF">2026-09-13T17:38:47.422Z</dcterms:modified>
</cp:coreProperties>
</file>

<file path=docProps/custom.xml><?xml version="1.0" encoding="utf-8"?>
<Properties xmlns="http://schemas.openxmlformats.org/officeDocument/2006/custom-properties" xmlns:vt="http://schemas.openxmlformats.org/officeDocument/2006/docPropsVTypes"/>
</file>