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宁波东方电缆股份有限公司（东方电缆） (603606)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行业：高端电缆制造与海洋工程服务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截至2026年9月11日收盘，数据整理截至2026年9月13日。不同平台收盘价存在小幅差异：打板客/爱股票为35.65元，Investing为35.66元；以下优先采用35.65元口径。</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东方电缆当前呈现“订单与收入较快增长、利润和现金流承压、海缆高景气仍待兑现”的特征。2026年上半年实现营业收入约58.00亿元，同比增长30.85%；归母净利润5.65亿元，同比增长19.41%，但经营活动现金流量净额为-1.57亿元，较上年同期7.14亿元明显转弱。2026年8月披露的在手订单约179.34亿元，近期中标项目合计约28.42亿元，为后续收入提供一定支撑，但订单从中标、签约到交付、验收和收入确认存在时间差。</w:t>
      </w:r>
    </w:p>
    <w:p>
      <w:pPr>
        <w:spacing w:after="160" w:line="300"/>
      </w:pPr>
      <w:r>
        <w:rPr>
          <w:sz w:val="22"/>
          <w:szCs w:val="22"/>
        </w:rPr>
        <w:t xml:space="preserve">公司业务结构中，陆缆系统承担规模增长但毛利率较低，2024年收入54.16亿元、毛利率约7.59%；海缆系统收入27.78亿元、毛利率39.57%；海洋工程收入8.89亿元、毛利率21.93%。2025年海底电缆与高压电缆收入约53.63亿元，同比增长65.60%，成为利润增长的重要驱动，但2026年第二季度归母净利润约1.93亿元，环比下降约48%，显示项目交付与收入确认节奏、高压陆缆价格竞争及业务结构变化仍在影响利润释放。</w:t>
      </w:r>
    </w:p>
    <w:p>
      <w:pPr>
        <w:spacing w:after="160" w:line="300"/>
      </w:pPr>
      <w:r>
        <w:rPr>
          <w:sz w:val="22"/>
          <w:szCs w:val="22"/>
        </w:rPr>
        <w:t xml:space="preserve">公司处于国内海缆第一梯队，竞争优势主要来自高压及超高压海缆技术、海上风电项目经验、沿海生产基地、海缆敷设和海洋工程一体化能力。未来增长逻辑在于海底电缆与高压电缆订单执行、动态海缆及深水脐带缆等高技术产品占比提升，以及宁波、北仑和阳江基地的产能释放，但产能规划或设计数据不等同于实际有效产能和利用率。</w:t>
      </w:r>
    </w:p>
    <w:p>
      <w:pPr>
        <w:spacing w:after="160" w:line="300"/>
      </w:pPr>
      <w:r>
        <w:rPr>
          <w:sz w:val="22"/>
          <w:szCs w:val="22"/>
        </w:rPr>
        <w:t xml:space="preserve">截至2026年9月11日，股价收于35.65元，较7月初高点明显回落后出现放量反弹，已站上短期均线和布林中轨，但仍低于MA200约37.17元。36.0至36.5元和37.2至37.8元附近存在技术压力，当前更接近下跌后的技术修复和区间反弹观察阶段；估值约对应18.4倍TTM市盈率、3.48倍市净率，后续重估仍取决于海缆项目确收、毛利率恢复、经营现金流改善及盈利预测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603606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东方电缆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浙江省宁波市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2014年10月15日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主要截至2024年12月31日，部分战略、产品及产能信息截至2026年公开披露资料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90.93亿元，同比增长24.38%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10.08亿元，同比增长0.81%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陆缆系统：包括高压、超高压陆地电缆，智能电网用电缆，核电缆、轨道交通电缆、防火电缆、通信电缆、控制电缆、架空导线及综合布线等，主要应用于电网、建筑、轨道交通、石化、核电及工业工程。</w:t>
      </w:r>
    </w:p>
    <w:p>
      <w:pPr>
        <w:pStyle w:val="ListParagraph"/>
        <w:numPr>
          <w:ilvl w:val="0"/>
          <w:numId w:val="2"/>
        </w:numPr>
        <w:spacing w:after="80" w:line="280"/>
      </w:pPr>
      <w:r>
        <w:rPr>
          <w:sz w:val="22"/>
          <w:szCs w:val="22"/>
        </w:rPr>
        <w:t xml:space="preserve">海缆系统：包括交流海底电缆、直流海底电缆、光电复合海缆、海底光缆，以及海上风电送出海缆、跨海联网海缆等。</w:t>
      </w:r>
    </w:p>
    <w:p>
      <w:pPr>
        <w:pStyle w:val="ListParagraph"/>
        <w:numPr>
          <w:ilvl w:val="0"/>
          <w:numId w:val="2"/>
        </w:numPr>
        <w:spacing w:after="80" w:line="280"/>
      </w:pPr>
      <w:r>
        <w:rPr>
          <w:sz w:val="22"/>
          <w:szCs w:val="22"/>
        </w:rPr>
        <w:t xml:space="preserve">海洋工程：包括海缆安装敷设、海上施工、海洋工程服务、运维服务、深水脐带缆和动态海缆系统等，应用于海上风电、海洋油气开发及深远海能源工程。</w:t>
      </w:r>
    </w:p>
    <w:p>
      <w:pPr>
        <w:pStyle w:val="ListParagraph"/>
        <w:numPr>
          <w:ilvl w:val="0"/>
          <w:numId w:val="2"/>
        </w:numPr>
        <w:spacing w:after="80" w:line="280"/>
      </w:pPr>
      <w:r>
        <w:rPr>
          <w:sz w:val="22"/>
          <w:szCs w:val="22"/>
        </w:rPr>
        <w:t xml:space="preserve">综合解决方案：主要集中于深远海脐带缆和动态缆系统、超高压电缆和海缆系统、智能配网电缆和工程线缆系统、海陆工程服务及运维系统。</w:t>
      </w:r>
    </w:p>
    <w:p>
      <w:pPr>
        <w:pStyle w:val="ListParagraph"/>
        <w:numPr>
          <w:ilvl w:val="0"/>
          <w:numId w:val="2"/>
        </w:numPr>
        <w:spacing w:after="80" w:line="280"/>
      </w:pPr>
      <w:r>
        <w:rPr>
          <w:sz w:val="22"/>
          <w:szCs w:val="22"/>
        </w:rPr>
        <w:t xml:space="preserve">2024年分业务情况：海缆系统收入约27.78亿元，同比增长0.41%，毛利率39.57%；海洋工程收入约8.89亿元，同比增长25.29%，毛利率21.93%；陆缆系统收入54.16亿元，同比增长41.52%，毛利率约7.59%。海缆系统和海洋工程合计收入36.66亿元，占营业收入约40.32%；陆缆系统收入占比约59.57%。</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东方电缆位于电力装备产业链中游，属于“高端电缆制造＋海洋工程服务”环节。公司以低毛利陆缆支撑规模，以高毛利海缆贡献利润，并通过海洋工程、海缆敷设、运维和深海装备服务向系统集成环节延伸。</w:t>
      </w:r>
    </w:p>
    <w:p>
      <w:pPr>
        <w:pStyle w:val="ListParagraph"/>
        <w:numPr>
          <w:ilvl w:val="0"/>
          <w:numId w:val="2"/>
        </w:numPr>
        <w:spacing w:after="80" w:line="280"/>
      </w:pPr>
      <w:r>
        <w:rPr>
          <w:sz w:val="22"/>
          <w:szCs w:val="22"/>
        </w:rPr>
        <w:t xml:space="preserve">主要采购铜导体、铝导体、铜杆、铝杆、交联聚乙烯等绝缘材料、半导电屏蔽材料、聚乙烯及PVC等护套材料、钢带及铠装材料、光纤和附件。</w:t>
      </w:r>
    </w:p>
    <w:p>
      <w:pPr>
        <w:pStyle w:val="ListParagraph"/>
        <w:numPr>
          <w:ilvl w:val="0"/>
          <w:numId w:val="2"/>
        </w:numPr>
        <w:spacing w:after="80" w:line="280"/>
      </w:pPr>
      <w:r>
        <w:rPr>
          <w:sz w:val="22"/>
          <w:szCs w:val="22"/>
        </w:rPr>
        <w:t xml:space="preserve">生产和工程环节还需要海缆生产设备、检测设备及工程施工设备。</w:t>
      </w:r>
    </w:p>
    <w:p>
      <w:pPr>
        <w:pStyle w:val="ListParagraph"/>
        <w:numPr>
          <w:ilvl w:val="0"/>
          <w:numId w:val="2"/>
        </w:numPr>
        <w:spacing w:after="80" w:line="280"/>
      </w:pPr>
      <w:r>
        <w:rPr>
          <w:sz w:val="22"/>
          <w:szCs w:val="22"/>
        </w:rPr>
        <w:t xml:space="preserve">2024年电气机械及器材制造业成本中，直接材料金额63.59亿元，占该类成本的86.20%；直接人工占1.03%，制造费用占3.36%。分产品看，海缆系统直接材料占产品成本92.29%，陆缆系统占96.11%。</w:t>
      </w:r>
    </w:p>
    <w:p>
      <w:pPr>
        <w:pStyle w:val="ListParagraph"/>
        <w:numPr>
          <w:ilvl w:val="0"/>
          <w:numId w:val="2"/>
        </w:numPr>
        <w:spacing w:after="80" w:line="280"/>
      </w:pPr>
      <w:r>
        <w:rPr>
          <w:sz w:val="22"/>
          <w:szCs w:val="22"/>
        </w:rPr>
        <w:t xml:space="preserve">公司成本结构具有“料重工轻”特征，铜、铝及绝缘护套材料价格变化会明显影响毛利率。</w:t>
      </w:r>
    </w:p>
    <w:p>
      <w:pPr>
        <w:pStyle w:val="ListParagraph"/>
        <w:numPr>
          <w:ilvl w:val="0"/>
          <w:numId w:val="2"/>
        </w:numPr>
        <w:spacing w:after="80" w:line="280"/>
      </w:pPr>
      <w:r>
        <w:rPr>
          <w:sz w:val="22"/>
          <w:szCs w:val="22"/>
        </w:rPr>
        <w:t xml:space="preserve">公司不是铜、铝等矿产资源企业，不拥有相关矿产资源储备，对大宗原材料的定价能力有限，更多依靠订单及合同机制进行价格传导、套期保值或材料价格联动管理。</w:t>
      </w:r>
    </w:p>
    <w:p>
      <w:pPr>
        <w:pStyle w:val="ListParagraph"/>
        <w:numPr>
          <w:ilvl w:val="0"/>
          <w:numId w:val="2"/>
        </w:numPr>
        <w:spacing w:after="80" w:line="280"/>
      </w:pPr>
      <w:r>
        <w:rPr>
          <w:sz w:val="22"/>
          <w:szCs w:val="22"/>
        </w:rPr>
        <w:t xml:space="preserve">研究纪要未披露主要原材料供应商集中度，供应商前五名采购占比等数据缺失，无法据此判断供应商集中风险。</w:t>
      </w:r>
    </w:p>
    <w:p>
      <w:pPr>
        <w:pStyle w:val="ListParagraph"/>
        <w:numPr>
          <w:ilvl w:val="0"/>
          <w:numId w:val="2"/>
        </w:numPr>
        <w:spacing w:after="80" w:line="280"/>
      </w:pPr>
      <w:r>
        <w:rPr>
          <w:sz w:val="22"/>
          <w:szCs w:val="22"/>
        </w:rPr>
        <w:t xml:space="preserve">主要客户包括国家电网、南方电网等电网企业及其物资平台，五大发电集团及新能源发电企业，海上风电开发商和EPC总包商，海洋油气公司，以及轨道交通、核电、石化、大型工业工程和海外电力、海上风电项目客户。</w:t>
      </w:r>
    </w:p>
    <w:p>
      <w:pPr>
        <w:pStyle w:val="ListParagraph"/>
        <w:numPr>
          <w:ilvl w:val="0"/>
          <w:numId w:val="2"/>
        </w:numPr>
        <w:spacing w:after="80" w:line="280"/>
      </w:pPr>
      <w:r>
        <w:rPr>
          <w:sz w:val="22"/>
          <w:szCs w:val="22"/>
        </w:rPr>
        <w:t xml:space="preserve">2024年前五名客户销售额合计31.96亿元，占年度销售总额35.15%；年报未披露客户名称，无法仅凭年报判断前五大客户的具体构成。该数据为2024年度口径，来源为公司年报；研究纪要未提供其他年度数据进行交叉核实，具体以最新年报为准。</w:t>
      </w:r>
    </w:p>
    <w:p>
      <w:pPr>
        <w:pStyle w:val="ListParagraph"/>
        <w:numPr>
          <w:ilvl w:val="0"/>
          <w:numId w:val="2"/>
        </w:numPr>
        <w:spacing w:after="80" w:line="280"/>
      </w:pPr>
      <w:r>
        <w:rPr>
          <w:sz w:val="22"/>
          <w:szCs w:val="22"/>
        </w:rPr>
        <w:t xml:space="preserve">公司披露不存在单个客户销售额超过销售总额50%的情况，但前五大客户合计占比达到35.15%，下游客户集中度处于较高水平，同时尚未形成单一客户依赖。</w:t>
      </w:r>
    </w:p>
    <w:p>
      <w:pPr>
        <w:pStyle w:val="ListParagraph"/>
        <w:numPr>
          <w:ilvl w:val="0"/>
          <w:numId w:val="2"/>
        </w:numPr>
        <w:spacing w:after="80" w:line="280"/>
      </w:pPr>
      <w:r>
        <w:rPr>
          <w:sz w:val="22"/>
          <w:szCs w:val="22"/>
        </w:rPr>
        <w:t xml:space="preserve">陆缆业务更多面向电网招标、工程项目和区域性电力建设，产品标准化程度相对较高，价格竞争和原材料成本传导压力较明显。</w:t>
      </w:r>
    </w:p>
    <w:p>
      <w:pPr>
        <w:pStyle w:val="ListParagraph"/>
        <w:numPr>
          <w:ilvl w:val="0"/>
          <w:numId w:val="2"/>
        </w:numPr>
        <w:spacing w:after="80" w:line="280"/>
      </w:pPr>
      <w:r>
        <w:rPr>
          <w:sz w:val="22"/>
          <w:szCs w:val="22"/>
        </w:rPr>
        <w:t xml:space="preserve">海缆业务具有项目制、定制化和高认证壁垒，客户重点关注安全记录、技术能力、交付能力和工程业绩，头部企业在高压、超高压项目中具有更强的议价能力和客户黏性。</w:t>
      </w:r>
    </w:p>
    <w:p>
      <w:pPr>
        <w:pStyle w:val="ListParagraph"/>
        <w:numPr>
          <w:ilvl w:val="0"/>
          <w:numId w:val="2"/>
        </w:numPr>
        <w:spacing w:after="80" w:line="280"/>
      </w:pPr>
      <w:r>
        <w:rPr>
          <w:sz w:val="22"/>
          <w:szCs w:val="22"/>
        </w:rPr>
        <w:t xml:space="preserve">海缆最终客户通常为大型能源企业、电网企业和风电开发商，订单金额较大、交付周期较长，项目延期及结算周期可能增加营运资金占用。</w:t>
      </w:r>
    </w:p>
    <w:p>
      <w:pPr>
        <w:pStyle w:val="ListParagraph"/>
        <w:numPr>
          <w:ilvl w:val="0"/>
          <w:numId w:val="2"/>
        </w:numPr>
        <w:spacing w:after="80" w:line="280"/>
      </w:pPr>
      <w:r>
        <w:rPr>
          <w:sz w:val="22"/>
          <w:szCs w:val="22"/>
        </w:rPr>
        <w:t xml:space="preserve">应收账款周转天数显示，公司下游大型电网、风电及工程客户账期较长：2021年约185.80天，2022年约126.49天，2023年约132.46天，2024年约118.92天，2024年较2021年明显下降，回款效率有所改善。上述数据来自第三方财务指标数据库，未在本次研究中逐项依据公司年报附注重新计算，具体口径可能受平均应收账款、营业收入及四季度收入确认方式影响，仅作为趋势信号，不能替代正式年报口径。研究纪要未提供应收账款占营收或净利润比例、预付款及应付账款等数据。</w:t>
      </w:r>
    </w:p>
    <w:p>
      <w:pPr>
        <w:pStyle w:val="ListParagraph"/>
        <w:numPr>
          <w:ilvl w:val="0"/>
          <w:numId w:val="2"/>
        </w:numPr>
        <w:spacing w:after="80" w:line="280"/>
      </w:pPr>
      <w:r>
        <w:rPr>
          <w:sz w:val="22"/>
          <w:szCs w:val="22"/>
        </w:rPr>
        <w:t xml:space="preserve">2024年前五大客户销售额占比为35.15%，销售额合计31.96亿元；年报未披露客户名称，且研究纪要未提供其他年度前五大客户数据进行交叉核实，因此只能判断客户集中度较高但不存在单一客户销售额超过50%的披露情形，具体客户依赖程度以最新年报为准。供应商集中度数据未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30.55%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17.56%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海上风电抢装及高附加值海缆集中交付，海缆业务盈利水平较高。整体毛利率和净利率数据主要来自第三方财务指标数据库。</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抢装潮后高毛利海缆订单结构变化，同时原材料价格上涨，利润率回落。数据主要来自第三方财务指标数据库。</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22.38%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12.02%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海风项目节奏调整、部分订单延期，铜铝价格和制造成本对利润形成压力。数据主要来自第三方财务指标数据库。</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500kV高压海缆等高毛利产品交付，海缆系统毛利率明显改善。数据主要来自第三方财务指标数据库。</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11.09%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陆缆收入高速增长但毛利率较低，业务结构向陆缆倾斜；海缆系统毛利率仍高但较2023年下降，整体毛利率受到陆缆占比提升的稀释。整体数据与分业务数据存在来源口径差异，2024年分业务毛利率来自公司年报。</w:t>
            </w:r>
          </w:p>
        </w:tc>
      </w:tr>
    </w:tbl>
    <w:p>
      <w:pPr>
        <w:spacing w:before="200"/>
      </w:pPr>
    </w:p>
    <w:p>
      <w:pPr>
        <w:spacing w:after="160" w:line="300"/>
      </w:pPr>
      <w:r>
        <w:rPr>
          <w:sz w:val="22"/>
          <w:szCs w:val="22"/>
        </w:rPr>
        <w:t xml:space="preserve">东方电缆整体处于电力装备产业链中游，但内部存在明显分层：普通陆缆更接近中游加工制造，主要依靠规模、区域市场、客户渠道和成本控制；高压及超高压海缆处于中游制造中技术和附加值较高的位置；海洋工程、海缆敷设、运维和深海装备服务向下游系统集成环节延伸。公司进一步提升利润的核心驱动不是控制铜、铝等矿产资源，而是提高高压直流、500kV海缆、动态海缆和深水脐带缆等高技术产品占比，推进阳江、北仑基地的产能释放，并拓展海外项目。</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约58.00亿元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同比增长30.85%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同比增长19.41%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同比增长约27.6%，环比增长约1.2%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归属于上市公司股东的净利润约1.93亿元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同比增长约0.6%，环比下降约48%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108.43亿元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同比增长19.26%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归属于上市公司股东的净利润12.71亿元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同比增长26.11%</w:t>
            </w:r>
          </w:p>
        </w:tc>
      </w:tr>
    </w:tbl>
    <w:p>
      <w:pPr>
        <w:spacing w:after="200"/>
      </w:pPr>
      <w:r>
        <w:rPr>
          <w:i/>
          <w:iCs/>
          <w:color w:val="595959"/>
          <w:sz w:val="18"/>
          <w:szCs w:val="18"/>
        </w:rPr>
        <w:t xml:space="preserve">2026年半年度报告于2026年8月5日披露，报告未经审计。2026年上半年扣除非经常性损益后的归母净利润为5.59亿元，同比增长21.03%；基本每股收益0.69元，同比增长18.97%。2025年扣非归母净利润为12.54亿元，同比增长38.01%；基本每股收益1.85元，同比增长25.85%。</w:t>
      </w:r>
    </w:p>
    <w:p>
      <w:pPr>
        <w:spacing w:after="160" w:line="300"/>
      </w:pPr>
      <w:r>
        <w:rPr>
          <w:sz w:val="22"/>
          <w:szCs w:val="22"/>
        </w:rPr>
        <w:t xml:space="preserve">2026年上半年收入保持较快增长，但归母净利润增速低于收入增速，归母净利率约为9.7%。同期经营活动产生的现金流量净额为-1.57亿元，上年同期为7.14亿元，经营现金流明显转弱。2026年第二季度利润环比大幅下降，公开研报主要归因于部分海缆项目交付与收入确认节奏错配，以及高压陆缆业务价格竞争对毛利率的影响。2026年上半年海底电缆与高压电缆收入约23.65亿元，同比增长约20.9%，毛利率约26.1%；该业务拆分和毛利率数据主要来自券商中报点评，仍需以后续公司定期报告核验。2025年海底电缆与高压电缆收入约53.63亿元，同比增长65.60%，为利润增长的重要驱动力；电力工程与装备线缆收入约47.29亿元，同比增长7.29%，海洋装备与工程运维收入约7.4亿元，同比下降约48%。2025年末归属于上市公司股东的净资产约82.83亿元，2026年6月末增至约84.57亿元；2026年6月末总资产约174.58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F10汇总显示，过去6个月内共有24家机构对2026年业绩进行预测，2028年有23家机构提供预测。表中营业收入、归母净利润和EPS为机构预测均值，不是公司业绩指引或单一券商预测。2026年归母净利润预测区间约为14.10亿—20.07亿元，2027年约为18.20亿—25.91亿元，2028年约为20.80亿—31.49亿元。部分机构预测包括：华泰证券预计2026—2028年归母净利润为16.29亿元、20.15亿元和24.03亿元；国盛证券为15.51亿元、22.17亿元和27.81亿元；华安证券约为19亿元、23亿元和27亿元；野村东方国际证券为19.49亿元、24.69亿元和28.95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约128.12亿元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约17.51亿元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同比增长约37.68%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约2.12元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约148.75亿元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约21.76亿元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约171.50亿元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约26.20亿元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约3.18元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目标价45.74元，对应2026年约23.1倍PE；目标价较其2026年4月8日给出的68.38元明显下调。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预计2026—2028年归母净利润为18.65亿元、23.33亿元和27.25亿元，对应PE约22.9倍、18.3倍和15.7倍。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预计2026—2028年归母净利润约为19亿元、23亿元和27亿元。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华福证券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bl>
    <w:p>
      <w:pPr>
        <w:spacing w:before="200"/>
      </w:pPr>
    </w:p>
    <w:p>
      <w:pPr>
        <w:spacing w:after="160" w:line="300"/>
      </w:pPr>
      <w:r>
        <w:rPr>
          <w:sz w:val="22"/>
          <w:szCs w:val="22"/>
        </w:rPr>
        <w:t xml:space="preserve">截至2026年9月10日收盘，股价约34.49元，总市值约284.48亿元，市净率约3.36倍。不同平台市盈率口径存在差异：动态市盈率约24.99倍、TTM市盈率约17.81倍、静态市盈率约18.64倍；另一平台显示市盈率约20.87倍、扣非市盈率约21.05倍。按照2025年基本每股收益1.85元计算，股价对应静态PE约18.6倍；按照机构一致预测EPS计算，2026—2028年预测PE约为16.3倍、13.0倍和10.8倍；按照华泰证券预测EPS计算，分别约为17.4倍、14.1倍和11.9倍。近180天公开研报样本的一致目标价中位数约71.29元，Investing.com另一组分析师样本给出的12个月平均目标价为55.81元，最高65.83元、最低43元，统计口径并不一致。华泰证券2026年8月5日给出的45.74元目标价属于较新的单家机构目标价。当前估值较2026年上半年市场高点已有回落，但仍非传统低估值电缆股，估值能否进一步重估取决于海上风电项目建设和并网节奏、海缆项目收入确认、毛利率恢复及2026年下半年利润修复。主要不确定性包括经营现金流转负、项目确收延迟、高压陆缆价格竞争，以及机构盈利预测区间较宽。</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近期公告总体情况</w:t>
      </w:r>
    </w:p>
    <w:p>
      <w:pPr>
        <w:spacing w:after="160" w:line="300"/>
      </w:pPr>
      <w:r>
        <w:rPr>
          <w:sz w:val="22"/>
          <w:szCs w:val="22"/>
        </w:rPr>
        <w:t xml:space="preserve">截至2026年9月11日，东方电缆最近一份重大公告为2026年8月25日披露的《关于近期中标相关项目的提示性公告》，公告编号为2026-028。2026年9月1日至9月11日暂未检索到公司在上海证券交易所披露新的重大临时公告。由于部分第三方公告页面可能存在更新滞后，相关判断以上交所及公司后续正式披露为准。</w:t>
      </w:r>
    </w:p>
    <w:p>
      <w:pPr>
        <w:pStyle w:val="Heading2"/>
        <w:spacing w:after="120" w:before="240"/>
      </w:pPr>
      <w:r>
        <w:rPr>
          <w:b/>
          <w:bCs/>
          <w:color w:val="2E74B5"/>
          <w:sz w:val="24"/>
          <w:szCs w:val="24"/>
        </w:rPr>
        <w:t xml:space="preserve">4.2 近期中标项目合计约28.42亿元</w:t>
      </w:r>
    </w:p>
    <w:p>
      <w:pPr>
        <w:spacing w:after="160" w:line="300"/>
      </w:pPr>
      <w:r>
        <w:rPr>
          <w:sz w:val="22"/>
          <w:szCs w:val="22"/>
        </w:rPr>
        <w:t xml:space="preserve">2026年8月25日，公司披露近期陆续收到多份中标通知书及中标公示结果，确认成为多个项目的中标人，合计中标金额约28.42亿元。绿色输电设施（电力工程与装备线缆）中标约15.20亿元，其中包括国家电网项目约3.31亿元、轨道交通、能源、石化等重大工程及其他招标采购项目约11.89亿元；电力新能源（海底电缆与高压电缆）中标约9.78亿元，其中包括南方电网500kV海缆及附件采购项目约4.28亿元、国家电网和南方电网高压电缆项目约3.95亿元、铁路、轨道交通、港口等项目超高压及高压电缆约1.54亿元；深海科技（海洋装备与工程运维）中标约3.44亿元。部分项目仍处于中标通知、结果公示或合同签署流程中，最终合同金额、履约时间、结算方式及收入确认进度存在不确定性。</w:t>
      </w:r>
    </w:p>
    <w:p>
      <w:pPr>
        <w:pStyle w:val="Heading2"/>
        <w:spacing w:after="120" w:before="240"/>
      </w:pPr>
      <w:r>
        <w:rPr>
          <w:b/>
          <w:bCs/>
          <w:color w:val="2E74B5"/>
          <w:sz w:val="24"/>
          <w:szCs w:val="24"/>
        </w:rPr>
        <w:t xml:space="preserve">4.3 中标金额获投资者互动答复确认</w:t>
      </w:r>
    </w:p>
    <w:p>
      <w:pPr>
        <w:spacing w:after="160" w:line="300"/>
      </w:pPr>
      <w:r>
        <w:rPr>
          <w:sz w:val="22"/>
          <w:szCs w:val="22"/>
        </w:rPr>
        <w:t xml:space="preserve">2026年9月1日，公司在投资者互动平台再次确认，2026年8月25日公告披露的绿色输电设施、电力新能源、深海科技三大板块中标金额分别约为15.20亿元、9.78亿元和3.44亿元，合计约28.42亿元。</w:t>
      </w:r>
    </w:p>
    <w:p>
      <w:pPr>
        <w:pStyle w:val="Heading2"/>
        <w:spacing w:after="120" w:before="240"/>
      </w:pPr>
      <w:r>
        <w:rPr>
          <w:b/>
          <w:bCs/>
          <w:color w:val="2E74B5"/>
          <w:sz w:val="24"/>
          <w:szCs w:val="24"/>
        </w:rPr>
        <w:t xml:space="preserve">4.4 2026年半年度报告：收入和净利润增长</w:t>
      </w:r>
    </w:p>
    <w:p>
      <w:pPr>
        <w:spacing w:after="160" w:line="300"/>
      </w:pPr>
      <w:r>
        <w:rPr>
          <w:sz w:val="22"/>
          <w:szCs w:val="22"/>
        </w:rPr>
        <w:t xml:space="preserve">公司于2026年8月5日披露2026年半年度报告。报告期内实现营业收入约58.00亿元，同比增长30.85%；归属于上市公司股东的净利润约5.65亿元，同比增长19.41%；扣除非经常性损益后的净利润约5.59亿元，同比增长21.03%。经营活动产生的现金流量净额约为-1.57亿元，上年同期约为7.14亿元。报告期内公司没有利润分配或资本公积金转增预案，并于2026年8月11日召开半年度业绩说明会。</w:t>
      </w:r>
    </w:p>
    <w:p>
      <w:pPr>
        <w:pStyle w:val="Heading2"/>
        <w:spacing w:after="120" w:before="240"/>
      </w:pPr>
      <w:r>
        <w:rPr>
          <w:b/>
          <w:bCs/>
          <w:color w:val="2E74B5"/>
          <w:sz w:val="24"/>
          <w:szCs w:val="24"/>
        </w:rPr>
        <w:t xml:space="preserve">4.5 在手订单约179.34亿元</w:t>
      </w:r>
    </w:p>
    <w:p>
      <w:pPr>
        <w:spacing w:after="160" w:line="300"/>
      </w:pPr>
      <w:r>
        <w:rPr>
          <w:sz w:val="22"/>
          <w:szCs w:val="22"/>
        </w:rPr>
        <w:t xml:space="preserve">截至2026年8月3日，公司在手订单约179.34亿元。其中，电力工程与装备线缆约48.50亿元，海底电缆与高压电缆约91.28亿元，海洋装备与工程运维约39.56亿元。订单从中标到正式合同签署、生产交付、验收结算及收入确认存在时间差。</w:t>
      </w:r>
    </w:p>
    <w:p>
      <w:pPr>
        <w:pStyle w:val="Heading2"/>
        <w:spacing w:after="120" w:before="240"/>
      </w:pPr>
      <w:r>
        <w:rPr>
          <w:b/>
          <w:bCs/>
          <w:color w:val="2E74B5"/>
          <w:sz w:val="24"/>
          <w:szCs w:val="24"/>
        </w:rPr>
        <w:t xml:space="preserve">4.6 未披露2026年度或前三季度业绩预告</w:t>
      </w:r>
    </w:p>
    <w:p>
      <w:pPr>
        <w:spacing w:after="160" w:line="300"/>
      </w:pPr>
      <w:r>
        <w:rPr>
          <w:sz w:val="22"/>
          <w:szCs w:val="22"/>
        </w:rPr>
        <w:t xml:space="preserve">截至2026年9月11日，未检索到公司针对2026年度或2026年前三季度单独披露的业绩预告、业绩快报或业绩预增、预减公告。2026年半年度报告属于正式定期报告，不等同于业绩预告。</w:t>
      </w:r>
    </w:p>
    <w:p>
      <w:pPr>
        <w:pStyle w:val="Heading2"/>
        <w:spacing w:after="120" w:before="240"/>
      </w:pPr>
      <w:r>
        <w:rPr>
          <w:b/>
          <w:bCs/>
          <w:color w:val="2E74B5"/>
          <w:sz w:val="24"/>
          <w:szCs w:val="24"/>
        </w:rPr>
        <w:t xml:space="preserve">4.7 暂未形成新的回购或增持计划</w:t>
      </w:r>
    </w:p>
    <w:p>
      <w:pPr>
        <w:spacing w:after="160" w:line="300"/>
      </w:pPr>
      <w:r>
        <w:rPr>
          <w:sz w:val="22"/>
          <w:szCs w:val="22"/>
        </w:rPr>
        <w:t xml:space="preserve">截至2026年9月11日，未检索到公司在2026年8月至9月新披露股份回购方案、回购进展公告或控股股东增持公告。公司于2026年9月4日在投资者互动平台表示，截至回复日暂未形成新的股份增持、回购计划，后续如有相关举措将按规定及时公告。互动平台答复不具有正式回购公告同等效力，后续情况以上交所正式公告为准。</w:t>
      </w:r>
    </w:p>
    <w:p>
      <w:pPr>
        <w:pStyle w:val="Heading2"/>
        <w:spacing w:after="120" w:before="240"/>
      </w:pPr>
      <w:r>
        <w:rPr>
          <w:b/>
          <w:bCs/>
          <w:color w:val="2E74B5"/>
          <w:sz w:val="24"/>
          <w:szCs w:val="24"/>
        </w:rPr>
        <w:t xml:space="preserve">4.8 股东及减持动态</w:t>
      </w:r>
    </w:p>
    <w:p>
      <w:pPr>
        <w:spacing w:after="160" w:line="300"/>
      </w:pPr>
      <w:r>
        <w:rPr>
          <w:sz w:val="22"/>
          <w:szCs w:val="22"/>
        </w:rPr>
        <w:t xml:space="preserve">2026年半年度报告显示，截至2026年6月30日，宁波东方集团有限公司持股261,029,333股，持股比例31.65%，为控股股东；袁黎雨持股55,795,434股，持股比例6.76%；香港中央结算有限公司持股41,819,167股，持股比例5.07%。报告期内宁波东方集团有限公司、袁黎雨及香港中央结算有限公司持股分别增加43,504,889股、9,299,239股和20,361,432股，主要与2025年度权益分派中的资本公积转增股本有关，不能直接认定为二级市场增持。截至2026年9月4日，公司表示未收到控股股东、实际控制人及持股5%以上股东报送的减持计划，暂未检索到2026年9月新的大股东减持、质押或司法冻结公告。</w:t>
      </w:r>
    </w:p>
    <w:p>
      <w:pPr>
        <w:pStyle w:val="Heading2"/>
        <w:spacing w:after="120" w:before="240"/>
      </w:pPr>
      <w:r>
        <w:rPr>
          <w:b/>
          <w:bCs/>
          <w:color w:val="2E74B5"/>
          <w:sz w:val="24"/>
          <w:szCs w:val="24"/>
        </w:rPr>
        <w:t xml:space="preserve">4.9 现金管理余额约3.95亿元</w:t>
      </w:r>
    </w:p>
    <w:p>
      <w:pPr>
        <w:spacing w:after="160" w:line="300"/>
      </w:pPr>
      <w:r>
        <w:rPr>
          <w:sz w:val="22"/>
          <w:szCs w:val="22"/>
        </w:rPr>
        <w:t xml:space="preserve">2026年8月5日，公司披露现金管理进展。截至公告披露日，公司及子公司累计开展现金管理约96,995.40万元，已赎回金额约57,495.40万元，未到期现金管理余额约39,500万元，产品主要包括七天通知存款和结构性存款。相关资金为暂时闲置自有资金，不属于新增重大对外投资或并购事项。此前董事会批准使用不超过5亿元暂时闲置自有资金开展现金管理，期限为2025年度董事会审议通过之日起12个月内，资金可循环滚动使用。</w:t>
      </w:r>
    </w:p>
    <w:p>
      <w:pPr>
        <w:pStyle w:val="Heading2"/>
        <w:spacing w:after="120" w:before="240"/>
      </w:pPr>
      <w:r>
        <w:rPr>
          <w:b/>
          <w:bCs/>
          <w:color w:val="2E74B5"/>
          <w:sz w:val="24"/>
          <w:szCs w:val="24"/>
        </w:rPr>
        <w:t xml:space="preserve">4.10 未发现新的重大并购或资产重组事项</w:t>
      </w:r>
    </w:p>
    <w:p>
      <w:pPr>
        <w:spacing w:after="160" w:line="300"/>
      </w:pPr>
      <w:r>
        <w:rPr>
          <w:sz w:val="22"/>
          <w:szCs w:val="22"/>
        </w:rPr>
        <w:t xml:space="preserve">截至2026年9月11日，未检索到公司在2026年8月至9月披露新的重大并购、资产重组或股权收购事项。此前披露并仍在推进的关联方房产购买事项为：公司拟向宁波东方南苑置业有限公司购买“云榭璞庭”项目1号楼32套住宅，建筑面积合计约4,200.35平方米，交易金额约7,329.9050万元。截至半年报披露日，相关购房合同已于2026年5月底完成网签，公司已支付50%的首付款，项目预计于2027年12月30日前交付。该事项属于既有关联交易进展，不是2026年8月至9月新增的并购或资产重组。</w:t>
      </w:r>
    </w:p>
    <w:p>
      <w:pPr>
        <w:pStyle w:val="Heading2"/>
        <w:spacing w:after="120" w:before="240"/>
      </w:pPr>
      <w:r>
        <w:rPr>
          <w:b/>
          <w:bCs/>
          <w:color w:val="2E74B5"/>
          <w:sz w:val="24"/>
          <w:szCs w:val="24"/>
        </w:rPr>
        <w:t xml:space="preserve">4.11 暂未发现监管处罚或问询事项</w:t>
      </w:r>
    </w:p>
    <w:p>
      <w:pPr>
        <w:spacing w:after="160" w:line="300"/>
      </w:pPr>
      <w:r>
        <w:rPr>
          <w:sz w:val="22"/>
          <w:szCs w:val="22"/>
        </w:rPr>
        <w:t xml:space="preserve">截至2026年9月11日，未检索到公司在2026年8月至9月收到上海证券交易所监管问询、监管工作函、纪律处分、证监会立案调查或行政处罚的公告。公司2026年半年度报告披露，报告期内公司及控股股东、实际控制人不存在涉嫌违法违规、受到处罚及整改情况。近期中标项目涉及国家电网、南方电网、铁路、轨道交通、港口及海洋工程等，但属于公司经营订单，不应简单等同于新的行业政策利好。</w:t>
      </w:r>
    </w:p>
    <w:p>
      <w:pPr>
        <w:pStyle w:val="Heading2"/>
        <w:spacing w:after="120" w:before="240"/>
      </w:pPr>
      <w:r>
        <w:rPr>
          <w:b/>
          <w:bCs/>
          <w:color w:val="2E74B5"/>
          <w:sz w:val="24"/>
          <w:szCs w:val="24"/>
        </w:rPr>
        <w:t xml:space="preserve">4.12 后续重点跟踪事项</w:t>
      </w:r>
    </w:p>
    <w:p>
      <w:pPr>
        <w:spacing w:after="160" w:line="300"/>
      </w:pPr>
      <w:r>
        <w:rPr>
          <w:sz w:val="22"/>
          <w:szCs w:val="22"/>
        </w:rPr>
        <w:t xml:space="preserve">后续需重点关注约28.42亿元中标项目的正式合同签署、项目交付与收入确认节奏，海底电缆及高压电缆订单执行情况，以及公司是否披露新的股份回购、股东减持或增持计划。</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603606，东方电缆</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35.65元；Investing口径为35.66元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上涨1.16元，涨幅3.36%；Investing口径涨幅3.39%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开盘34.15元，最高36.04元，最低33.95元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约6.06%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约28.39万手，即约2839万股；Investing口径约2818万股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约10.06亿元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总市值约294.04亿元，流通市值约294.04亿元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动态市盈率约25.83倍，市盈率TTM约18.41倍，市净率约3.48倍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较2026年7月2日收盘价43.36元低约17.8%；较2026年8月20日收盘价35.86元低约0.6%；较2026年9月2日阶段低点32.99元高约8.1%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可检索口径显示52周高点约73.94元、低点约32.99元；Investing显示区间约32.99元至61.62元，因复权方式、统计窗口或更新口径差异，不宜简单视为同一口径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Investing截至2026年9月10日：MA5 34.15元、MA10 34.09元、MA20 33.99元、MA50 33.82元；自行计算结果：MA5约34.42元、MA10约34.00元、MA20约34.74元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MA5、MA10、MA20和MA50整体处于34元附近，股价位于其上，构成短线修复基础；不同数据源及计算口径存在差异，均线数值应作区间参考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中长期均线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MA100 34.84元，MA200 37.17元；自行综合判断MA200约37.0至37.2元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MA100和MA200仍高于最新收盘价，说明短期修复已有迹象，但中长期趋势尚未完全转强；MA200附近构成反弹过程中的重要压力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Investing截至2026年9月10日约0.13，技术信号为买入；2026年9月11日完整同口径数值未取得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MACD位于零轴附近并呈偏正状态，短周期动能有所修复，但结合股价仍低于MA200及此前下跌走势，更适合定义为下跌后的技术修复，尚不足以确认中期上升趋势建立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Investing截至2026年9月10日为63.324，技术信号为买入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RSI已从此前偏弱区域修复至50以上，短线买盘动能改善；63附近尚未达到传统极端超买区，但接近60至70区间时，股价仍可能继续上行或在套牢盘压力下冲高震荡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基于截至2026年9月11日最近20个交易日收盘价自行计算：中轨约34.74元，收盘标准差约1.38元，上轨约37.50元，下轨约31.97元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最新收盘价位于布林中轨上方、尚未接近上轨；结合当日最高36.04元，短线已进入36元附近的前期交易密集及心理压力区域。该结果可能受复权价、盘中价和标准差参数影响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2026年6月29日收盘41.82元，7月2日收盘43.36元；8月20日和8月21日收盘分别为35.86元和34.11元；8月中旬至9月初整体在33元至39元区间震荡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股价经历7月初快速上行后回落，近期围绕33元至39元区间反复震荡；33元附近是较有参考价值的阶段低点，40元至43元区域构成上方套牢及成交密集压力带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同花顺最近可核实至2026年9月4日：当日资金净流入约1.662亿元，大单资金净流入约9715万元；前5日主力净额约-1095万元。9月11日主力资金净额未取得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8月中下旬股价回落期间主力资金整体偏流出，9月4日出现资金回流，但5日主力净额仍接近小幅净流出，资金修复尚不稳定；9月11日成交额放大只能说明交易活跃度提升，不能据此确认全部为主力买入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9月3日至9月10日成交额约2.32亿至6.55亿元、换手率约0.85%至2.34%；9月11日成交额约10.06亿元、换手率3.44%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9月11日成交额和换手率明显高于此前一周常态，呈现放量反弹特征；但单日放量尚不足以确认中期趋势反转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截至2026年6月30日、公告日期为2026年8月5日：股东总数75077户，前十大流通股东持股约4.174亿股，合计持股比例50.61%；机构合计持股比例约45.74%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高，控股股东及关联股东占比较大，同时公募基金、基本养老保险基金、保险机构和券商等机构出现在股东结构中。但该数据距2026年9月11日已有两个多月，期间持仓可能变化，不能等同于当前实时筹码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股东结构变化</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股东户数由2026年3月31日的41665户升至2026年6月30日的75077户，增加约80.19%；人均持股数由16505股降至10986股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二季度股东结构明显分散，不能仅依据前十大流通股东50.61%的持股比例作出单向乐观判断</w:t>
            </w:r>
          </w:p>
        </w:tc>
      </w:tr>
    </w:tbl>
    <w:p>
      <w:pPr>
        <w:spacing w:before="200"/>
      </w:pPr>
    </w:p>
    <w:p>
      <w:pPr>
        <w:spacing w:after="160" w:line="300"/>
      </w:pPr>
      <w:r>
        <w:rPr>
          <w:sz w:val="22"/>
          <w:szCs w:val="22"/>
        </w:rPr>
        <w:t xml:space="preserve">截至2026年9月11日，东方电缆收盘35.65元，单日上涨3.36%，成交额由9月10日约4.57亿元放大至约10.06亿元，换手率升至3.44%，形成放量反弹特征。股价已站上MA5、MA10、MA20和MA50附近的短期均线及布林中轨，但仍低于MA200约37.17元，且36元附近存在短线压力、37.2至37.8元区域存在中期技术压力。MACD和RSI均显示短线动能修复，但资金修复尚不稳定，9月11日主力资金净额缺乏同口径数据确认。整体看，当前更适合定义为下跌后的技术修复与区间反弹观察阶段，能否延续取决于36.0至36.5元压力区的突破有效性、后续成交额持续性及相关板块和资金面配合。</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36.0~36.5元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依据9月11日盘中高点36.04元及短线交易密集区域。若有效突破并在36.5元上方稳定，观察空间可进一步指向37.2~37.8元；若受阻，则可能回到区间震荡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37.2~37.8元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对应MA200约37.17元、布林上轨约37.50元及8月18日至8月20日下跌平台。若不能放量突破，反弹可能重新转为震荡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34.0~34.5元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对应MA5、MA10、MA20附近的均线密集区及9月3日至9月10日主要整理区。若回踩后缩量企稳，短线反弹结构仍可观察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32.9~33.3元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对应9月2日阶段低点32.99元及附近交易区间。若有效跌破32.9元，短期或打开向布林下轨测算区域约32元甚至52周低点方向再次试探的空间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为基于当前技术面、成交量和资金数据的启发式判断，不是统计概率）：价格区间约34.0~36.5元。触发条件包括后续成交额回落至约3亿~6亿元、股价维持在34元上方但未有效突破36.0~36.5元。该情景对应放量上涨后的冲高、震荡和消化</w:t>
      </w:r>
    </w:p>
    <w:p>
      <w:pPr>
        <w:pStyle w:val="ListParagraph"/>
        <w:numPr>
          <w:ilvl w:val="0"/>
          <w:numId w:val="2"/>
        </w:numPr>
        <w:spacing w:after="80" w:line="280"/>
      </w:pPr>
      <w:r>
        <w:rPr>
          <w:sz w:val="22"/>
          <w:szCs w:val="22"/>
        </w:rPr>
        <w:t xml:space="preserve">反弹走强（主观权重中等，约三成左右；为基于当前技术面、成交量和资金数据的启发式判断，不是统计概率）：价格区间约36.5~37.8元。触发条件包括有效突破36.0~36.5元，单日成交额持续高于近期常态并达到约6亿~8亿元以上，海风、电网设备等相关板块同步走强，且主力资金由阶段性流出转为连续净流入。若满足条件，可观察向MA200和布林上轨所在的37.2~37.8元区域反弹，但不能将突破36元简单等同于中期趋势反转</w:t>
      </w:r>
    </w:p>
    <w:p>
      <w:pPr>
        <w:pStyle w:val="ListParagraph"/>
        <w:numPr>
          <w:ilvl w:val="0"/>
          <w:numId w:val="2"/>
        </w:numPr>
        <w:spacing w:after="80" w:line="280"/>
      </w:pPr>
      <w:r>
        <w:rPr>
          <w:sz w:val="22"/>
          <w:szCs w:val="22"/>
        </w:rPr>
        <w:t xml:space="preserve">偏弱下行（主观权重偏低至中等，约两成左右；为基于当前技术面、成交量和资金数据的启发式判断，不是统计概率）：价格区间约32.9~34.0元。触发条件包括股价重新跌破34元并连续收于其下、成交额放大但收盘价走弱形成放量滞涨或放量下跌、相关板块走弱或大盘风险偏好明显下降，及32.99元阶段低点被有效跌破。若失守32.9~33.0元，短期技术结构将重新转弱，可观察向布林下轨测算区域约32元寻找支撑</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可核实的9月3日至9月10日成交额约2.32亿~6.55亿元，换手率约0.85%~2.34%；9月11日成交额放大至约10.06亿元，换手率升至3.44%。对于总市值约294亿元的股票，3.44%的单日换手不属于极端活跃，但较此前一周常态明显提升，构成短线趋势观察信号。股东结构数据截至2026年6月30日、公告日期为2026年8月5日：前十大流通股东合计持股50.61%，控股股东及关联股东占比较大，同时公募基金、基本养老保险基金、保险机构和券商等机构出现在前十大流通股东中；机构合计持股比例约45.74%。由于该数据距最新交易日已有两个多月，持仓可能已经变化。同期股东户数由41665户增至75077户，人均持股数由16505股降至10986股，显示二季度股东结构明显分散。实际观察中，应结合后续成交额、换手率及价格位置判断放量反弹能否延续，而不能仅凭单日成交额或滞后股东数据判断资金方向。</w:t>
      </w:r>
    </w:p>
    <w:p>
      <w:pPr>
        <w:spacing w:after="160" w:line="300"/>
      </w:pPr>
      <w:r>
        <w:rPr>
          <w:sz w:val="22"/>
          <w:szCs w:val="22"/>
        </w:rPr>
        <w:t xml:space="preserve">可检查的量能确认信号是：若后续连续两个交易日成交额维持在约6亿元以上，同时收盘价稳定在36元上方，可视为短线资金介入和突破有效性增强的信号；若成交额迅速降回3亿元以下且股价跌回34元下方，则放量反弹的持续性需要重新评估。</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观察36.0~36.5元压力区能否在成交额持续放大的配合下有效突破；以上为观察思路，非操作指令。</w:t>
      </w:r>
    </w:p>
    <w:p>
      <w:pPr>
        <w:pStyle w:val="ListParagraph"/>
        <w:numPr>
          <w:ilvl w:val="0"/>
          <w:numId w:val="2"/>
        </w:numPr>
        <w:spacing w:after="80" w:line="280"/>
      </w:pPr>
      <w:r>
        <w:rPr>
          <w:sz w:val="22"/>
          <w:szCs w:val="22"/>
        </w:rPr>
        <w:t xml:space="preserve">观察34.0~34.5元均线密集区能否在回踩时提供支撑；以上为观察思路，非操作指令。</w:t>
      </w:r>
    </w:p>
    <w:p>
      <w:pPr>
        <w:pStyle w:val="ListParagraph"/>
        <w:numPr>
          <w:ilvl w:val="0"/>
          <w:numId w:val="2"/>
        </w:numPr>
        <w:spacing w:after="80" w:line="280"/>
      </w:pPr>
      <w:r>
        <w:rPr>
          <w:sz w:val="22"/>
          <w:szCs w:val="22"/>
        </w:rPr>
        <w:t xml:space="preserve">观察32.9~33.3元强支撑区是否被有效跌破，以及跌破后是否打开向约32元布林下轨区域试探的空间；以上为观察思路，非操作指令。</w:t>
      </w:r>
    </w:p>
    <w:p>
      <w:pPr>
        <w:pStyle w:val="ListParagraph"/>
        <w:numPr>
          <w:ilvl w:val="0"/>
          <w:numId w:val="2"/>
        </w:numPr>
        <w:spacing w:after="80" w:line="280"/>
      </w:pPr>
      <w:r>
        <w:rPr>
          <w:sz w:val="22"/>
          <w:szCs w:val="22"/>
        </w:rPr>
        <w:t xml:space="preserve">观察后续成交额能否连续维持约6亿元以上，而不是仅出现单日放量，并关注主力资金数据是否由8月中下旬的持续净流出转为连续净流入；以上为观察思路，非操作指令。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电线电缆行业覆盖普通低压电缆、高压及超高压电缆、海底电缆和特种电缆等多个细分领域，产品技术门槛和盈利能力差异较大。普通陆缆参与者众多、产品同质化程度相对较高，价格竞争和原材料成本传导压力明显；海缆尤其是220kV、330kV、500kV交流海缆及高压直流海缆，需要较强的研发、试验、生产、运输、敷设和项目交付能力，行业壁垒和集中度更高。</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国内海缆市场呈现东方电缆、中天科技、亨通光电“三强主导、梯队分化”的竞争格局；汉缆股份、宝胜股份等处于第二梯队。</w:t>
      </w:r>
    </w:p>
    <w:p>
      <w:pPr>
        <w:pStyle w:val="ListParagraph"/>
        <w:numPr>
          <w:ilvl w:val="0"/>
          <w:numId w:val="2"/>
        </w:numPr>
        <w:spacing w:after="80" w:line="280"/>
      </w:pPr>
      <w:r>
        <w:rPr>
          <w:sz w:val="22"/>
          <w:szCs w:val="22"/>
        </w:rPr>
        <w:t xml:space="preserve">部分行业研究资料估算，东方电缆、中天科技和亨通光电三家企业在国内海缆市场合计份额约87%。该数据并非监管披露数据，且不同年份、产品口径和统计方法可能导致差异，只适合作为行业集中度方向性判断，不能视为精确市场份额。</w:t>
      </w:r>
    </w:p>
    <w:p>
      <w:pPr>
        <w:pStyle w:val="ListParagraph"/>
        <w:numPr>
          <w:ilvl w:val="0"/>
          <w:numId w:val="2"/>
        </w:numPr>
        <w:spacing w:after="80" w:line="280"/>
      </w:pPr>
      <w:r>
        <w:rPr>
          <w:sz w:val="22"/>
          <w:szCs w:val="22"/>
        </w:rPr>
        <w:t xml:space="preserve">行业竞争优势主要来自高电压等级产品研发和试验能力、海上风电项目供货业绩、长期运行安全记录、沿海生产基地和专用码头、海缆敷设船舶及海上施工能力、长期客户合作、海外认证和国际项目经验。</w:t>
      </w:r>
    </w:p>
    <w:p>
      <w:pPr>
        <w:pStyle w:val="ListParagraph"/>
        <w:numPr>
          <w:ilvl w:val="0"/>
          <w:numId w:val="2"/>
        </w:numPr>
        <w:spacing w:after="80" w:line="280"/>
      </w:pPr>
      <w:r>
        <w:rPr>
          <w:sz w:val="22"/>
          <w:szCs w:val="22"/>
        </w:rPr>
        <w:t xml:space="preserve">随着海上风电向深远海、漂浮式风电和大容量输电发展，动态海缆、高压直流海缆、330kV及500kV交流海缆的重要性提升，头部企业的技术和项目经验优势仍然较明显。</w:t>
      </w:r>
    </w:p>
    <w:p>
      <w:pPr>
        <w:pStyle w:val="ListParagraph"/>
        <w:numPr>
          <w:ilvl w:val="0"/>
          <w:numId w:val="2"/>
        </w:numPr>
        <w:spacing w:after="80" w:line="280"/>
      </w:pPr>
      <w:r>
        <w:rPr>
          <w:sz w:val="22"/>
          <w:szCs w:val="22"/>
        </w:rPr>
        <w:t xml:space="preserve">东方电缆拥有宁波高压海缆工厂、宁波东部北仑基地及广东阳江超高压海缆南方产业基地等布局。相关规划年产值和产能数字属于设计或规划口径，不等同于当期实际产量、实际有效产能或产能利用率。</w:t>
      </w:r>
    </w:p>
    <w:p>
      <w:pPr>
        <w:pStyle w:val="ListParagraph"/>
        <w:numPr>
          <w:ilvl w:val="0"/>
          <w:numId w:val="2"/>
        </w:numPr>
        <w:spacing w:after="80" w:line="280"/>
      </w:pPr>
      <w:r>
        <w:rPr>
          <w:sz w:val="22"/>
          <w:szCs w:val="22"/>
        </w:rPr>
        <w:t xml:space="preserve">2024年公司海缆系统生产量814.232公里、销售量791.199公里、库存量330.628公里；陆缆系统生产量133,003.936公里、销售量134,079.971公里、库存量21,090.331公里。由于海缆和陆缆产品价值量差异较大，公里数不能直接等同于收入规模或产能利用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中天科技（600522）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东方电缆最直接的国内海缆竞争者之一，业务覆盖海缆、陆缆、光通信、新能源和海洋工程。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业务多元化程度较高，拥有海缆、海工船舶和海洋通信等协同业务，并布局交直流海缆、动态海缆及国际市场；东方电缆则在海缆及海洋工程收入占比、海缆盈利弹性和宁波—阳江基地布局方面更为集中。</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亨通光电（600487）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主营通信网络、智能电网、海洋能源和海洋通信，具备全球化产业和营销网络。</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优势在于光通信产业链、全球化渠道和跨洋海底通信业务；东方电缆更偏重海上风电电力海缆、海洋油气脐带缆和海上工程服务。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汉缆股份（002498）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主要从事电力电缆、装备用电缆、特种电缆、数据电缆、架空线、电缆附件及输变电工程等业务。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普通电力电缆和电缆附件业务基础较强，已研发500kV海缆及附件，但整体仍以电力电缆和综合电缆产品为主；东方电缆在高压海缆产业化、海上风电项目经验和海洋工程一体化方面更具先发优势。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宝胜股份（600973）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主要从事电线电缆及相关电气产品，应用于电力、轨道交通、新能源、建筑、海洋工程、通信、石化、船舶和航空航天等领域。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综合电缆业务规模和产品领域较广，也参与海缆竞争；其海缆高端化、海上工程及高压海缆项目经验仍在加强。相关材料披露宝胜海缆不再属于公司控股子公司，横向比较需注意统计口径变化。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普睿司曼、耐克森、NKT、住友电工等海外企业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全球高端海缆市场的重要参与者。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具备较强的技术、认证、全球客户和海外工程经验，与东方电缆的直接竞争主要发生在欧洲海上风电、跨国电力互联和海外高压海缆项目；本次研究不纳入A股可比估值和财务比较。</w:t>
            </w:r>
          </w:p>
        </w:tc>
      </w:tr>
    </w:tbl>
    <w:p>
      <w:pPr>
        <w:spacing w:before="200"/>
      </w:pPr>
    </w:p>
    <w:p>
      <w:pPr>
        <w:spacing w:after="160" w:line="300"/>
      </w:pPr>
      <w:r>
        <w:rPr>
          <w:sz w:val="22"/>
          <w:szCs w:val="22"/>
        </w:rPr>
        <w:t xml:space="preserve">东方电缆与中天科技、亨通光电同属国内海缆第一梯队，竞争优势集中于高压及超高压海缆技术、海上风电项目业绩、沿海基地、专用码头、海缆敷设及海洋工程一体化能力。相较中天科技和亨通光电，东方电缆业务更聚焦海上风电电力海缆、海洋油气脐带缆及海上工程服务；相较汉缆股份和宝胜股份，东方电缆的高压海缆产业化和海洋工程系统能力更突出。</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海缆项目交付和收入确认节奏存在不确定性。公司2026年第二季度归母净利润约1.93亿元，环比下降约48%，相关信息显示部分海缆项目交付与收入确认存在错配；近期中标项目仍有部分处于中标通知、结果公示或合同签署阶段，最终合同金额、履约时间、结算方式和确认进度可能偏离预期。</w:t>
      </w:r>
    </w:p>
    <w:p>
      <w:pPr>
        <w:pStyle w:val="ListParagraph"/>
        <w:numPr>
          <w:ilvl w:val="0"/>
          <w:numId w:val="2"/>
        </w:numPr>
        <w:spacing w:after="80" w:line="280"/>
      </w:pPr>
      <w:r>
        <w:rPr>
          <w:sz w:val="22"/>
          <w:szCs w:val="22"/>
        </w:rPr>
        <w:t xml:space="preserve">陆缆业务占比较高且盈利能力较弱，可能持续稀释整体毛利率。2024年陆缆系统收入占比约59.57%，毛利率约7.59%；2026年上半年高压陆缆业务还受到价格竞争影响，若陆缆收入继续快于高毛利海缆增长，公司收入增速可能无法同步转化为利润增速。</w:t>
      </w:r>
    </w:p>
    <w:p>
      <w:pPr>
        <w:pStyle w:val="ListParagraph"/>
        <w:numPr>
          <w:ilvl w:val="0"/>
          <w:numId w:val="2"/>
        </w:numPr>
        <w:spacing w:after="80" w:line="280"/>
      </w:pPr>
      <w:r>
        <w:rPr>
          <w:sz w:val="22"/>
          <w:szCs w:val="22"/>
        </w:rPr>
        <w:t xml:space="preserve">铜、铝及绝缘护套材料价格波动会直接影响公司盈利。2024年直接材料占相关制造成本86.20%，海缆系统和陆缆系统产品成本中的直接材料占比分别约92.29%和96.11%；公司不拥有铜、铝矿产资源，原材料定价能力有限，若合同价格联动、套期保值或成本传导不足，毛利率可能承压。</w:t>
      </w:r>
    </w:p>
    <w:p>
      <w:pPr>
        <w:pStyle w:val="ListParagraph"/>
        <w:numPr>
          <w:ilvl w:val="0"/>
          <w:numId w:val="2"/>
        </w:numPr>
        <w:spacing w:after="80" w:line="280"/>
      </w:pPr>
      <w:r>
        <w:rPr>
          <w:sz w:val="22"/>
          <w:szCs w:val="22"/>
        </w:rPr>
        <w:t xml:space="preserve">经营现金流存在转弱风险。2026年上半年经营活动现金流量净额为-1.57亿元，上年同期为7.14亿元；公司下游大型电网、风电及工程客户账期较长，若项目交付、验收或结算延迟，可能增加应收账款和营运资金占用。</w:t>
      </w:r>
    </w:p>
    <w:p>
      <w:pPr>
        <w:pStyle w:val="ListParagraph"/>
        <w:numPr>
          <w:ilvl w:val="0"/>
          <w:numId w:val="2"/>
        </w:numPr>
        <w:spacing w:after="80" w:line="280"/>
      </w:pPr>
      <w:r>
        <w:rPr>
          <w:sz w:val="22"/>
          <w:szCs w:val="22"/>
        </w:rPr>
        <w:t xml:space="preserve">客户集中度较高但客户名称未披露，存在项目和客户结构波动风险。2024年前五大客户销售额合计31.96亿元，占年度销售总额35.15%；公司虽披露不存在单个客户销售额超过50%的情形，但大型电网、能源企业及工程总包客户订单金额较大，重点项目延期或采购节奏变化可能影响收入确认。</w:t>
      </w:r>
    </w:p>
    <w:p>
      <w:pPr>
        <w:pStyle w:val="ListParagraph"/>
        <w:numPr>
          <w:ilvl w:val="0"/>
          <w:numId w:val="2"/>
        </w:numPr>
        <w:spacing w:after="80" w:line="280"/>
      </w:pPr>
      <w:r>
        <w:rPr>
          <w:sz w:val="22"/>
          <w:szCs w:val="22"/>
        </w:rPr>
        <w:t xml:space="preserve">产能扩张和基地建设存在兑现风险。公司宁波、北仑及广东阳江等基地的部分产能和年产值数据属于规划或设计口径，不等同于实际有效产能、产量或利用率；若产能释放慢于预期，可能影响订单交付和规模效应，若释放过快而订单执行不及预期，则可能带来固定成本和资本开支压力。</w:t>
      </w:r>
    </w:p>
    <w:p>
      <w:pPr>
        <w:pStyle w:val="ListParagraph"/>
        <w:numPr>
          <w:ilvl w:val="0"/>
          <w:numId w:val="2"/>
        </w:numPr>
        <w:spacing w:after="80" w:line="280"/>
      </w:pPr>
      <w:r>
        <w:rPr>
          <w:sz w:val="22"/>
          <w:szCs w:val="22"/>
        </w:rPr>
        <w:t xml:space="preserve">海上风电和深远海项目建设节奏可能影响公司高毛利业务增长。公司海缆及海洋工程业务与海上风电送出、跨海联网和深远海能源工程密切相关，项目建设、并网、审批及施工节奏变化，可能造成订单执行和利润确认波动。</w:t>
      </w:r>
    </w:p>
    <w:p>
      <w:pPr>
        <w:pStyle w:val="ListParagraph"/>
        <w:numPr>
          <w:ilvl w:val="0"/>
          <w:numId w:val="2"/>
        </w:numPr>
        <w:spacing w:after="80" w:line="280"/>
      </w:pPr>
      <w:r>
        <w:rPr>
          <w:sz w:val="22"/>
          <w:szCs w:val="22"/>
        </w:rPr>
        <w:t xml:space="preserve">当前估值和技术走势仍对业绩兑现较为敏感。截至2026年9月11日，股价约35.65元，TTM市盈率约18.41倍、市净率约3.48倍，股价虽从阶段低点反弹但仍低于MA200约37.17元；若海缆确收、毛利率或经营现金流未如预期改善，盈利预测下修和技术反弹受阻的风险可能上升。</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东方电缆的中长期增长基础主要来自高压及超高压海缆、海上风电送出、跨海联网、深远海能源工程以及海洋工程服务。2026年上半年收入保持较快增长，且截至8月3日在手订单约179.34亿元，8月披露的近期中标金额约28.42亿元，其中海底电缆与高压电缆约9.78亿元、海洋装备与工程运维约3.44亿元，订单储备和技术型业务布局仍具有支撑作用。机构一致预测2026—2028年归母净利润均值约为17.51亿元、21.76亿元和26.20亿元，但上述预测并非公司业绩指引，且机构预测区间较宽。</w:t>
      </w:r>
    </w:p>
    <w:p>
      <w:pPr>
        <w:spacing w:after="160" w:line="300"/>
      </w:pPr>
      <w:r>
        <w:rPr>
          <w:sz w:val="22"/>
          <w:szCs w:val="22"/>
        </w:rPr>
        <w:t xml:space="preserve">短期业绩弹性仍取决于项目交付及收入确认节奏，尤其是海缆项目能否顺利确收、高压陆缆价格竞争是否缓和，以及高毛利业务占比能否提升。2026年二季度利润环比明显下降、上半年经营现金流转负，说明收入增长尚未完全转化为利润和现金流增长；前五大客户销售占比35.15%、大型电网及工程客户账期较长，也需要关注订单集中度和营运资金占用。</w:t>
      </w:r>
    </w:p>
    <w:p>
      <w:pPr>
        <w:spacing w:after="160" w:line="300"/>
      </w:pPr>
      <w:r>
        <w:rPr>
          <w:sz w:val="22"/>
          <w:szCs w:val="22"/>
        </w:rPr>
        <w:t xml:space="preserve">技术面上，35.65元收盘价已高于短期均线，但仍处于MA200下方，放量反弹能否延续尚需成交额持续性和资金流向验证。公司未来表现的核心观察变量包括中标项目正式合同签署、交付验收与收入确认、海缆及高压电缆毛利率、经营现金流变化，以及市场对机构盈利预测的兑现程度。</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股份有限公司2024年年度报告 — https://stockn.xueqiu.com/SH603606/20250326407425.pdf?utm_source=openai</w:t>
      </w:r>
    </w:p>
    <w:p>
      <w:pPr>
        <w:spacing w:after="200"/>
      </w:pPr>
      <w:r>
        <w:rPr>
          <w:i/>
          <w:iCs/>
          <w:color w:val="595959"/>
          <w:sz w:val="18"/>
          <w:szCs w:val="18"/>
        </w:rPr>
        <w:t xml:space="preserve">东方电缆(603606)_公司公告_东方电缆：2024年年度报告新浪财经_新浪网 — https://vip.stock.finance.sina.com.cn/corp/view/vCB_AllBulletinDetail.php?id=10809214&amp;stockid=603606&amp;utm_source=openai</w:t>
      </w:r>
    </w:p>
    <w:p>
      <w:pPr>
        <w:spacing w:after="200"/>
      </w:pPr>
      <w:r>
        <w:rPr>
          <w:i/>
          <w:iCs/>
          <w:color w:val="595959"/>
          <w:sz w:val="18"/>
          <w:szCs w:val="18"/>
        </w:rPr>
        <w:t xml:space="preserve">宁波东方电缆股份有限公司2024年年度报告 — https://www.100est.com/res/financial-report/r2024/SH603606_202503261647781562.pdf?utm_source=openai</w:t>
      </w:r>
    </w:p>
    <w:p>
      <w:pPr>
        <w:spacing w:after="200"/>
      </w:pPr>
      <w:r>
        <w:rPr>
          <w:i/>
          <w:iCs/>
          <w:color w:val="595959"/>
          <w:sz w:val="18"/>
          <w:szCs w:val="18"/>
        </w:rPr>
        <w:t xml:space="preserve">公司介绍 — https://www.orientcable.com/about.html?utm_source=openai</w:t>
      </w:r>
    </w:p>
    <w:p>
      <w:pPr>
        <w:spacing w:after="200"/>
      </w:pPr>
      <w:r>
        <w:rPr>
          <w:i/>
          <w:iCs/>
          <w:color w:val="595959"/>
          <w:sz w:val="18"/>
          <w:szCs w:val="18"/>
        </w:rPr>
        <w:t xml:space="preserve">东方电缆(603606) 公司大事_F10_同花顺金融服务网 — https://basic.10jqka.com.cn/603606/event.html?utm_source=openai</w:t>
      </w:r>
    </w:p>
    <w:p>
      <w:pPr>
        <w:spacing w:after="200"/>
      </w:pPr>
      <w:r>
        <w:rPr>
          <w:i/>
          <w:iCs/>
          <w:color w:val="595959"/>
          <w:sz w:val="18"/>
          <w:szCs w:val="18"/>
        </w:rPr>
        <w:t xml:space="preserve">东方电缆(603606)财务指标_新浪财经_新浪网 — https://money.finance.sina.com.cn/corp/go.php/vFD_FinancialGuideLine/stockid/603606/ctrl/2024/displaytype/4.phtml?utm_source=openai</w:t>
      </w:r>
    </w:p>
    <w:p>
      <w:pPr>
        <w:spacing w:after="200"/>
      </w:pPr>
      <w:r>
        <w:rPr>
          <w:i/>
          <w:iCs/>
          <w:color w:val="595959"/>
          <w:sz w:val="18"/>
          <w:szCs w:val="18"/>
        </w:rPr>
        <w:t xml:space="preserve">东方电缆(603606) - 基本面研究报告 - 爱股网 — https://www.iguuu.com/stock/603606/report?utm_source=openai</w:t>
      </w:r>
    </w:p>
    <w:p>
      <w:pPr>
        <w:spacing w:after="200"/>
      </w:pPr>
      <w:r>
        <w:rPr>
          <w:i/>
          <w:iCs/>
          <w:color w:val="595959"/>
          <w:sz w:val="18"/>
          <w:szCs w:val="18"/>
        </w:rPr>
        <w:t xml:space="preserve">2026-2032年中国海底电缆行业市场发展形势及投资机会研判报告_智研咨询 — https://www.chyxx.com/research/1224380.html?utm_source=openai</w:t>
      </w:r>
    </w:p>
    <w:p>
      <w:pPr>
        <w:spacing w:after="200"/>
      </w:pPr>
      <w:r>
        <w:rPr>
          <w:i/>
          <w:iCs/>
          <w:color w:val="595959"/>
          <w:sz w:val="18"/>
          <w:szCs w:val="18"/>
        </w:rPr>
        <w:t xml:space="preserve">中天科技(600522)_公司公告_中天科技：2024年年度报告新浪财经_新浪网 — https://vip.stock.finance.sina.com.cn/corp/view/vCB_AllBulletinDetail.php?id=10956669&amp;stockid=600522&amp;utm_source=openai</w:t>
      </w:r>
    </w:p>
    <w:p>
      <w:pPr>
        <w:spacing w:after="200"/>
      </w:pPr>
      <w:r>
        <w:rPr>
          <w:i/>
          <w:iCs/>
          <w:color w:val="595959"/>
          <w:sz w:val="18"/>
          <w:szCs w:val="18"/>
        </w:rPr>
        <w:t xml:space="preserve">亨通光电(600487)_公司公告_亨通光电：2024年年度报告摘要新浪财经_新浪网 — https://vip.stock.finance.sina.com.cn/corp/view/vCB_AllBulletinDetail.php?id=10965616&amp;stockid=600487&amp;utm_source=openai</w:t>
      </w:r>
    </w:p>
    <w:p>
      <w:pPr>
        <w:spacing w:after="200"/>
      </w:pPr>
      <w:r>
        <w:rPr>
          <w:i/>
          <w:iCs/>
          <w:color w:val="595959"/>
          <w:sz w:val="18"/>
          <w:szCs w:val="18"/>
        </w:rPr>
        <w:t xml:space="preserve">汉缆股份(002498)_公司公告_汉缆股份：2024年年度报告新浪财经_新浪网 — https://money.finance.sina.com.cn/corp/view/vCB_AllBulletinDetail.php?id=11012900&amp;stockid=002498&amp;utm_source=openai</w:t>
      </w:r>
    </w:p>
    <w:p>
      <w:pPr>
        <w:spacing w:after="200"/>
      </w:pPr>
      <w:r>
        <w:rPr>
          <w:i/>
          <w:iCs/>
          <w:color w:val="595959"/>
          <w:sz w:val="18"/>
          <w:szCs w:val="18"/>
        </w:rPr>
        <w:t xml:space="preserve">宝胜股份(600973)_公司公告_宝胜股份：2024年年度报告摘要新浪财经_新浪网 — https://money.finance.sina.com.cn/corp/view/vCB_AllBulletinDetail.php?id=10785713&amp;stockid=600973&amp;utm_source=openai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https://static.cninfo.com.cn/finalpage/2026-08-05/1225457907.PDF — https://static.cninfo.com.cn/finalpage/2026-08-05/1225457907.PDF</w:t>
      </w:r>
    </w:p>
    <w:p>
      <w:pPr>
        <w:spacing w:after="200"/>
      </w:pPr>
      <w:r>
        <w:rPr>
          <w:i/>
          <w:iCs/>
          <w:color w:val="595959"/>
          <w:sz w:val="18"/>
          <w:szCs w:val="18"/>
        </w:rPr>
        <w:t xml:space="preserve">https://reportify.cn/reports/1282331486393077760?utm_source=openai — https://reportify.cn/reports/1282331486393077760?utm_source=openai</w:t>
      </w:r>
    </w:p>
    <w:p>
      <w:pPr>
        <w:spacing w:after="200"/>
      </w:pPr>
      <w:r>
        <w:rPr>
          <w:i/>
          <w:iCs/>
          <w:color w:val="595959"/>
          <w:sz w:val="18"/>
          <w:szCs w:val="18"/>
        </w:rPr>
        <w:t xml:space="preserve">东方电缆（603606）：2026年中报点评：海缆确收较少+高压陆缆价格竞争影响Q2毛利率，海缆交付维持高景气 - 研报雷达 — https://zc-baogao.com/report.html?id=38819&amp;utm_source=openai</w:t>
      </w:r>
    </w:p>
    <w:p>
      <w:pPr>
        <w:spacing w:after="200"/>
      </w:pPr>
      <w:r>
        <w:rPr>
          <w:i/>
          <w:iCs/>
          <w:color w:val="595959"/>
          <w:sz w:val="18"/>
          <w:szCs w:val="18"/>
        </w:rPr>
        <w:t xml:space="preserve">东方电缆(603606)_公司公告_东方电缆：2025年年度报告新浪财经_新浪网 — https://money.finance.sina.com.cn/corp/view/vCB_AllBulletinDetail.php?id=12030378&amp;stockid=603606&amp;utm_source=openai</w:t>
      </w:r>
    </w:p>
    <w:p>
      <w:pPr>
        <w:spacing w:after="200"/>
      </w:pPr>
      <w:r>
        <w:rPr>
          <w:i/>
          <w:iCs/>
          <w:color w:val="595959"/>
          <w:sz w:val="18"/>
          <w:szCs w:val="18"/>
        </w:rPr>
        <w:t xml:space="preserve">东方电缆(603606) 盈利预测_F10_同花顺金融服务网 — https://basic.10jqka.com.cn/603606/worth.html</w:t>
      </w:r>
    </w:p>
    <w:p>
      <w:pPr>
        <w:spacing w:after="200"/>
      </w:pPr>
      <w:r>
        <w:rPr>
          <w:i/>
          <w:iCs/>
          <w:color w:val="595959"/>
          <w:sz w:val="18"/>
          <w:szCs w:val="18"/>
        </w:rPr>
        <w:t xml:space="preserve">东方电缆逆势跌3.12% 华泰证券维持增持评级话音刚落 — https://stock.10jqka.com.cn/20260805/c678689757.shtml?utm_source=openai</w:t>
      </w:r>
    </w:p>
    <w:p>
      <w:pPr>
        <w:spacing w:after="200"/>
      </w:pPr>
      <w:r>
        <w:rPr>
          <w:i/>
          <w:iCs/>
          <w:color w:val="595959"/>
          <w:sz w:val="18"/>
          <w:szCs w:val="18"/>
        </w:rPr>
        <w:t xml:space="preserve">机构评级|华福证券给予东方电缆“买入”评级 未给出目标价 — https://stock.10jqka.com.cn/20260519/c676802267.shtml?utm_source=openai</w:t>
      </w:r>
    </w:p>
    <w:p>
      <w:pPr>
        <w:spacing w:after="200"/>
      </w:pPr>
      <w:r>
        <w:rPr>
          <w:i/>
          <w:iCs/>
          <w:color w:val="595959"/>
          <w:sz w:val="18"/>
          <w:szCs w:val="18"/>
        </w:rPr>
        <w:t xml:space="preserve">东方电缆 sh603606 的股票股价,行情,直播,新闻,财报,数据 - 爱股票 — https://stock.aigupiao.com/code/sh603606?utm_source=openai</w:t>
      </w:r>
    </w:p>
    <w:p>
      <w:pPr>
        <w:spacing w:after="200"/>
      </w:pPr>
      <w:r>
        <w:rPr>
          <w:i/>
          <w:iCs/>
          <w:color w:val="595959"/>
          <w:sz w:val="18"/>
          <w:szCs w:val="18"/>
        </w:rPr>
        <w:t xml:space="preserve">股票代码：603606 — https://www.sse.com.cn/disclosure/listedinfo/announcement/c/new/2024-03-21/603606_20240321_61S7.pdf?utm_source=openai</w:t>
      </w:r>
    </w:p>
    <w:p>
      <w:pPr>
        <w:spacing w:after="200"/>
      </w:pPr>
      <w:r>
        <w:rPr>
          <w:i/>
          <w:iCs/>
          <w:color w:val="595959"/>
          <w:sz w:val="18"/>
          <w:szCs w:val="18"/>
        </w:rPr>
        <w:t xml:space="preserve">东方电缆(603606)公告(全部) - 理杏仁 — https://www.lixinger.com/equity/company/detail/sh/603606/603606/announcement?type=all&amp;utm_source=openai</w:t>
      </w:r>
    </w:p>
    <w:p>
      <w:pPr>
        <w:spacing w:after="200"/>
      </w:pPr>
      <w:r>
        <w:rPr>
          <w:i/>
          <w:iCs/>
          <w:color w:val="595959"/>
          <w:sz w:val="18"/>
          <w:szCs w:val="18"/>
        </w:rPr>
        <w:t xml:space="preserve">宁波东方电缆股份有限公司关于近期中标相关项目的提示性公告_新浪财经_新浪网 — https://finance.sina.com.cn/roll/2026-08-25/doc-inipncmk2619450.shtml?utm_source=openai</w:t>
      </w:r>
    </w:p>
    <w:p>
      <w:pPr>
        <w:spacing w:after="200"/>
      </w:pPr>
      <w:r>
        <w:rPr>
          <w:i/>
          <w:iCs/>
          <w:color w:val="595959"/>
          <w:sz w:val="18"/>
          <w:szCs w:val="18"/>
        </w:rPr>
        <w:t xml:space="preserve">东方电缆：绿色输电设施（电力工程与装备线缆）中标金额约15.20亿元，电力新能源（海底电缆与高压电缆）中标金额约9.78亿元 — https://yuanchuang.10jqka.com.cn/20260901/c679486290.shtml?utm_source=openai</w:t>
      </w:r>
    </w:p>
    <w:p>
      <w:pPr>
        <w:spacing w:after="200"/>
      </w:pPr>
      <w:r>
        <w:rPr>
          <w:i/>
          <w:iCs/>
          <w:color w:val="595959"/>
          <w:sz w:val="18"/>
          <w:szCs w:val="18"/>
        </w:rPr>
        <w:t xml:space="preserve">东方电缆(603606)_公司公告_东方电缆：2026年半年度报告新浪财经_新浪网 — https://money.finance.sina.com.cn/corp/view/vCB_AllBulletinDetail.php?id=12477386&amp;stockid=603606</w:t>
      </w:r>
    </w:p>
    <w:p>
      <w:pPr>
        <w:spacing w:after="200"/>
      </w:pPr>
      <w:r>
        <w:rPr>
          <w:i/>
          <w:iCs/>
          <w:color w:val="595959"/>
          <w:sz w:val="18"/>
          <w:szCs w:val="18"/>
        </w:rPr>
        <w:t xml:space="preserve">东方电缆：公司不存在应披露而未披露的重大利空消息_股票频道_证券之星 — https://stock.stockstar.com/RB2026090400025800.shtml?utm_source=openai</w:t>
      </w:r>
    </w:p>
    <w:p>
      <w:pPr>
        <w:spacing w:after="200"/>
      </w:pPr>
      <w:r>
        <w:rPr>
          <w:i/>
          <w:iCs/>
          <w:color w:val="595959"/>
          <w:sz w:val="18"/>
          <w:szCs w:val="18"/>
        </w:rPr>
        <w:t xml:space="preserve">东方电缆累计使用9.7亿元闲置资金进行现金管理 目前未到期金额3.95亿元_新浪财经_新浪网 — https://finance.sina.com.cn/stock/aigc/wtlc/2026-08-04/doc-inimeefi5227980.shtml?utm_source=openai</w:t>
      </w:r>
    </w:p>
    <w:p>
      <w:pPr>
        <w:spacing w:after="200"/>
      </w:pPr>
      <w:r>
        <w:rPr>
          <w:i/>
          <w:iCs/>
          <w:color w:val="595959"/>
          <w:sz w:val="18"/>
          <w:szCs w:val="18"/>
        </w:rPr>
        <w:t xml:space="preserve">东方电缆 (603606) - 历史交易数据 | 打板客网 — https://dabanke.com/hangqing-603606.html</w:t>
      </w:r>
    </w:p>
    <w:p>
      <w:pPr>
        <w:spacing w:after="200"/>
      </w:pPr>
      <w:r>
        <w:rPr>
          <w:i/>
          <w:iCs/>
          <w:color w:val="595959"/>
          <w:sz w:val="18"/>
          <w:szCs w:val="18"/>
        </w:rPr>
        <w:t xml:space="preserve">SH.603606 东方电缆 ORIENT CABLES - A股实时报价 RT Quote - 详细报价 Detailed Quote - etnet 经济通|香港新闻财经资讯和生活平台 — https://www.etnet.com.hk/www/sc/ashares/quote.php?code=603606&amp;utm_source=openai</w:t>
      </w:r>
    </w:p>
    <w:p>
      <w:pPr>
        <w:spacing w:after="200"/>
      </w:pPr>
      <w:r>
        <w:rPr>
          <w:i/>
          <w:iCs/>
          <w:color w:val="595959"/>
          <w:sz w:val="18"/>
          <w:szCs w:val="18"/>
        </w:rPr>
        <w:t xml:space="preserve">东方电缆(603606)股票行情走势技术分析_未来预测_买卖操作建议_英为财情Investing.com — https://cn.investing.com/equities/ningbo-orient-wires-and-cables-technical?utm_source=openai</w:t>
      </w:r>
    </w:p>
    <w:p>
      <w:pPr>
        <w:spacing w:after="200"/>
      </w:pPr>
      <w:r>
        <w:rPr>
          <w:i/>
          <w:iCs/>
          <w:color w:val="595959"/>
          <w:sz w:val="18"/>
          <w:szCs w:val="18"/>
        </w:rPr>
        <w:t xml:space="preserve">东方电缆(603606)资金流向_个股行情_同花顺财经 — https://f10.10jqka.com.cn/603606/funds/</w:t>
      </w:r>
    </w:p>
    <w:p>
      <w:pPr>
        <w:spacing w:after="200"/>
      </w:pPr>
      <w:r>
        <w:rPr>
          <w:i/>
          <w:iCs/>
          <w:color w:val="595959"/>
          <w:sz w:val="18"/>
          <w:szCs w:val="18"/>
        </w:rPr>
        <w:t xml:space="preserve">东方电缆(603606) - 流通股股东 - 股票行情中心 - 搜狐证券 — https://q.stock.sohu.com/cn/603606/ltgd.shtml</w:t>
      </w:r>
    </w:p>
    <w:p>
      <w:pPr>
        <w:spacing w:after="200"/>
      </w:pPr>
      <w:r>
        <w:rPr>
          <w:i/>
          <w:iCs/>
          <w:color w:val="595959"/>
          <w:sz w:val="18"/>
          <w:szCs w:val="18"/>
        </w:rPr>
        <w:t xml:space="preserve">东方电缆(603606)2026年中报持仓明细 _ 数据中心 _ 东方财富 — https://emdatah5.eastmoney.com/dc/zlcc/detail?date=2026-06-30&amp;fc=603606&amp;fn=%E4%B8%9C%E6%96%B9%E7%94%B5%E7%BC%86&amp;utm_source=openai</w:t>
      </w:r>
    </w:p>
    <w:p>
      <w:pPr>
        <w:spacing w:after="200"/>
      </w:pPr>
      <w:r>
        <w:rPr>
          <w:i/>
          <w:iCs/>
          <w:color w:val="595959"/>
          <w:sz w:val="18"/>
          <w:szCs w:val="18"/>
        </w:rPr>
        <w:t xml:space="preserve">本报告由AI基于公开渠道信息自动检索、整理并生成，信息截至 截至2026年9月11日收盘，数据整理截至2026年9月13日。不同平台收盘价存在小幅差异：打板客/爱股票为35.65元，Investing为35.66元；以下优先采用35.65元口径。，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2026-09-13T13:39:32.095Z</dcterms:created>
  <dcterms:modified xsi:type="dcterms:W3CDTF">2026-09-13T13:39:32.095Z</dcterms:modified>
</cp:coreProperties>
</file>

<file path=docProps/custom.xml><?xml version="1.0" encoding="utf-8"?>
<Properties xmlns="http://schemas.openxmlformats.org/officeDocument/2006/custom-properties" xmlns:vt="http://schemas.openxmlformats.org/officeDocument/2006/docPropsVTypes"/>
</file>