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上海璞泰来新能源科技集团股份有限公司（璞泰来） (603659)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行业：新能源电池材料、自动化装备与工艺服务</w:t>
      </w:r>
    </w:p>
    <w:p>
      <w:pPr>
        <w:jc w:val="center"/>
      </w:pPr>
      <w:r>
        <w:rPr>
          <w:color w:val="595959"/>
          <w:sz w:val="22"/>
          <w:szCs w:val="22"/>
        </w:rPr>
        <w:t xml:space="preserve">报告日期：2026年9月13日</w:t>
      </w:r>
    </w:p>
    <w:p>
      <w:pPr>
        <w:jc w:val="center"/>
      </w:pPr>
      <w:r>
        <w:rPr>
          <w:color w:val="595959"/>
          <w:sz w:val="20"/>
          <w:szCs w:val="20"/>
        </w:rPr>
        <w:t xml:space="preserve">截至2026年9月11日收盘；部分技术指标为2026年9月10日数据，股东结构数据截至2026年6月30日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璞泰来2026年上半年实现营业收入101.15亿元，同比增长42.70%；归母净利润14.52亿元，同比增长37.58%，扣非归母净利润13.12亿元，同比增长32.25%，经营活动现金流净额17.99亿元，同比增长47.05%，显示业绩与现金流均保持较快增长。2025年公司收入157.11亿元、归母净利润23.59亿元，同比增长98.14%，盈利已较2023—2024年明显修复。</w:t>
      </w:r>
    </w:p>
    <w:p>
      <w:pPr>
        <w:spacing w:after="160" w:line="300"/>
      </w:pPr>
      <w:r>
        <w:rPr>
          <w:sz w:val="22"/>
          <w:szCs w:val="22"/>
        </w:rPr>
        <w:t xml:space="preserve">公司“材料＋设备＋工艺”平台协同模式持续发挥作用。2025年涂覆加工量109.42亿平方米，同比增长56.3%；负极材料出货量14.30万吨，同比增长8.1%；PVDF及含氟聚合物销量4.13万吨，同比增长99.1%；自动化装备与服务收入45.69亿元，同比增长21.2%，新接订单54.27亿元，同比增长130.9%。基膜自供、石墨化技改、原料配方优化及跨基地协同降本，推动2025年锂电池材料及设备主营业务毛利率恢复至31.66%。</w:t>
      </w:r>
    </w:p>
    <w:p>
      <w:pPr>
        <w:spacing w:after="160" w:line="300"/>
      </w:pPr>
      <w:r>
        <w:rPr>
          <w:sz w:val="22"/>
          <w:szCs w:val="22"/>
        </w:rPr>
        <w:t xml:space="preserve">增长同时伴随成本和客户结构压力。2026年上半年营业成本同比增长54.85%，高于收入增速，部分原材料涨价及新产能爬坡对毛利率形成拖累；2025年单一客户销售收入占比38.91%，前五大客户占比58.14%，应收账款及应收款项融资中最大客户占比42.57%，前五大客户占比64.79%，客户集中度及回款节奏仍是经营的重要影响因素。</w:t>
      </w:r>
    </w:p>
    <w:p>
      <w:pPr>
        <w:spacing w:after="160" w:line="300"/>
      </w:pPr>
      <w:r>
        <w:rPr>
          <w:sz w:val="22"/>
          <w:szCs w:val="22"/>
        </w:rPr>
        <w:t xml:space="preserve">截至2026年9月11日，公司股价收于21.38元，较8月13日的24.12元下跌约11.4%，低于MA5、MA10和MA20，MACD位于零轴下方，且当日下跌放量、超大单及大单合计净流出约9012万元，技术面仍偏弱。股价接近20.92元的52周低点及布林带下轨，后续市场关注重点在于21元附近支撑有效性、资金承接情况以及盈利增长能否持续兑现。</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603659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2012年11月6日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2017年在上海证券交易所上市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公司名称变更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2025年10月由“上海璞泰来新能源科技股份有限公司”变更为“上海璞泰来新能源科技集团股份有限公司”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公司定位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新能源电池关键材料、自动化装备与工艺技术的综合解决方案提供商和平台型企业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新能源电池材料、自动化装备的研发、生产和销售，并提供新能源电池极片代工服务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专利数量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截至2025年年末，公司及子公司累计获得专利1,792项</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主要数据口径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本纪要主要采用公司2025年年度报告及审计报告数据，财务、产能及客户数据主要截至2025年12月31日</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膜材料及涂覆加工：包括湿法隔膜基膜、涂覆隔膜、铝塑包装膜、集流体及复合集流体等。2025年涂覆加工量109.42亿平方米，同比增长56.3%，约占全球新能源电池涂覆隔膜市场35.3%；截至2025年末涂覆隔膜有效产能约140亿平方米、基膜年产能约21亿平方米。相关市场份额为公司年报披露的行业统计及公司自身口径，未找到同一口径的第三方独立交叉验证。</w:t>
      </w:r>
    </w:p>
    <w:p>
      <w:pPr>
        <w:pStyle w:val="ListParagraph"/>
        <w:numPr>
          <w:ilvl w:val="0"/>
          <w:numId w:val="2"/>
        </w:numPr>
        <w:spacing w:after="80" w:line="280"/>
      </w:pPr>
      <w:r>
        <w:rPr>
          <w:sz w:val="22"/>
          <w:szCs w:val="22"/>
        </w:rPr>
        <w:t xml:space="preserve">负极材料：主要生产中高端人造石墨负极，并布局硅碳负极、硬碳、软碳、复合石墨和锂金属负极等。2025年出货量14.30万吨，同比增长8.1%；截至2025年末年产能约25万吨。</w:t>
      </w:r>
    </w:p>
    <w:p>
      <w:pPr>
        <w:pStyle w:val="ListParagraph"/>
        <w:numPr>
          <w:ilvl w:val="0"/>
          <w:numId w:val="2"/>
        </w:numPr>
        <w:spacing w:after="80" w:line="280"/>
      </w:pPr>
      <w:r>
        <w:rPr>
          <w:sz w:val="22"/>
          <w:szCs w:val="22"/>
        </w:rPr>
        <w:t xml:space="preserve">功能性材料：包括PVDF及含氟聚合物、PVDF粘结剂、聚丙烯酸、丁苯橡胶、纳米氧化铝、勃姆石和生物基芳纶等。2025年PVDF及含氟聚合物销量4.13万吨，同比增长99.1%；截至2025年末PVDF有效产能超过3万吨。销量口径包括PVDF及含氟聚合物，不完全等同于公司自有PVDF产能。</w:t>
      </w:r>
    </w:p>
    <w:p>
      <w:pPr>
        <w:pStyle w:val="ListParagraph"/>
        <w:numPr>
          <w:ilvl w:val="0"/>
          <w:numId w:val="2"/>
        </w:numPr>
        <w:spacing w:after="80" w:line="280"/>
      </w:pPr>
      <w:r>
        <w:rPr>
          <w:sz w:val="22"/>
          <w:szCs w:val="22"/>
        </w:rPr>
        <w:t xml:space="preserve">新能源自动化装备与服务、极片代工：设备覆盖匀浆、涂布、辊压、分切、卷绕、叠片、注液、化成分容和氦检等关键工序。2025年自动化装备与服务主营业务收入45.69亿元，同比增长21.2%，新接订单金额54.27亿元，同比增长130.9%；公司已投产8GWh制浆和极片涂布线。</w:t>
      </w:r>
    </w:p>
    <w:p>
      <w:pPr>
        <w:pStyle w:val="ListParagraph"/>
        <w:numPr>
          <w:ilvl w:val="0"/>
          <w:numId w:val="2"/>
        </w:numPr>
        <w:spacing w:after="80" w:line="280"/>
      </w:pPr>
      <w:r>
        <w:rPr>
          <w:sz w:val="22"/>
          <w:szCs w:val="22"/>
        </w:rPr>
        <w:t xml:space="preserve">平台型协同模式：通过“材料＋设备＋工艺”协同，推进基膜设备自主化、基膜生产、涂覆加工、功能性材料自供、负极材料及极片代工等业务协同。按公司年报内部抵消前口径，2025年新能源电池材料与服务主营业务收入117.93亿元，自动化装备与服务主营业务收入45.69亿元；合并口径锂电池材料及设备主营业务收入155.32亿元。</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璞泰来处于新能源电池材料和设备产业链的中上游，业务连接石油焦、针状焦、聚烯烃树脂、含氟化工原料、陶瓷粉体、电力及装备零部件等上游投入品，以及动力电池、储能电池、消费电池、车企和新能源制造商等下游客户。公司核心价值不在单一资源垄断，而在于通过“基膜及涂覆隔膜＋负极材料＋功能性材料＋自动化装备＋工艺服务”形成平台型协同。</w:t>
      </w:r>
    </w:p>
    <w:p>
      <w:pPr>
        <w:pStyle w:val="ListParagraph"/>
        <w:numPr>
          <w:ilvl w:val="0"/>
          <w:numId w:val="2"/>
        </w:numPr>
        <w:spacing w:after="80" w:line="280"/>
      </w:pPr>
      <w:r>
        <w:rPr>
          <w:sz w:val="22"/>
          <w:szCs w:val="22"/>
        </w:rPr>
        <w:t xml:space="preserve">负极材料上游包括石油焦、针状焦、沥青、天然石墨及其他碳素原料，以及石墨化加工所需电力和相关辅材；隔膜和基膜上游包括聚烯烃树脂、萃取剂、溶剂、涂覆浆料、陶瓷粉体和粘结剂；PVDF及含氟聚合物上游包括含氟化工原料；功能性材料涉及氧化铝、勃姆石、PVDF、芳纶、PAA和SBR等；自动化装备上游包括机械结构件、电气元件、标准件、非标件、控制系统和软件模块。</w:t>
      </w:r>
    </w:p>
    <w:p>
      <w:pPr>
        <w:pStyle w:val="ListParagraph"/>
        <w:numPr>
          <w:ilvl w:val="0"/>
          <w:numId w:val="2"/>
        </w:numPr>
        <w:spacing w:after="80" w:line="280"/>
      </w:pPr>
      <w:r>
        <w:rPr>
          <w:sz w:val="22"/>
          <w:szCs w:val="22"/>
        </w:rPr>
        <w:t xml:space="preserve">2025年年报未披露上述各类原材料的具体采购金额、单项占比或前五大供应商占比，因此无法确认具体原材料成本权重和供应商集中度。</w:t>
      </w:r>
    </w:p>
    <w:p>
      <w:pPr>
        <w:pStyle w:val="ListParagraph"/>
        <w:numPr>
          <w:ilvl w:val="0"/>
          <w:numId w:val="2"/>
        </w:numPr>
        <w:spacing w:after="80" w:line="280"/>
      </w:pPr>
      <w:r>
        <w:rPr>
          <w:sz w:val="22"/>
          <w:szCs w:val="22"/>
        </w:rPr>
        <w:t xml:space="preserve">2025年锂电池材料及设备成本中，直接材料成本为83.37亿元，占该业务成本构成的78.55%，是最主要的成本项目；加工费占比下降，与库存消化和自供比例提升有关。</w:t>
      </w:r>
    </w:p>
    <w:p>
      <w:pPr>
        <w:pStyle w:val="ListParagraph"/>
        <w:numPr>
          <w:ilvl w:val="0"/>
          <w:numId w:val="2"/>
        </w:numPr>
        <w:spacing w:after="80" w:line="280"/>
      </w:pPr>
      <w:r>
        <w:rPr>
          <w:sz w:val="22"/>
          <w:szCs w:val="22"/>
        </w:rPr>
        <w:t xml:space="preserve">公司对石油焦、针状焦、聚烯烃树脂、化工原料、陶瓷粉体和电力等上游投入品不具备完全定价权，部分输入品具有大宗商品或化工品价格属性，整体属于成本部分受制于上游的制造企业。</w:t>
      </w:r>
    </w:p>
    <w:p>
      <w:pPr>
        <w:pStyle w:val="ListParagraph"/>
        <w:numPr>
          <w:ilvl w:val="0"/>
          <w:numId w:val="2"/>
        </w:numPr>
        <w:spacing w:after="80" w:line="280"/>
      </w:pPr>
      <w:r>
        <w:rPr>
          <w:sz w:val="22"/>
          <w:szCs w:val="22"/>
        </w:rPr>
        <w:t xml:space="preserve">公司通过自有石墨化、基膜设备自主集成、基膜自供、原材料集中采购、工艺优化和多基地协同生产，部分对冲上游成本波动；其中基膜设备和涂覆设备自研能力构成成本优势。</w:t>
      </w:r>
    </w:p>
    <w:p>
      <w:pPr>
        <w:pStyle w:val="ListParagraph"/>
        <w:numPr>
          <w:ilvl w:val="0"/>
          <w:numId w:val="2"/>
        </w:numPr>
        <w:spacing w:after="80" w:line="280"/>
      </w:pPr>
      <w:r>
        <w:rPr>
          <w:sz w:val="22"/>
          <w:szCs w:val="22"/>
        </w:rPr>
        <w:t xml:space="preserve">下游客户主要包括动力电池厂商、储能电池客户、消费类电池厂商、车企，以及需要锂电设备和极片代工服务的客户。</w:t>
      </w:r>
    </w:p>
    <w:p>
      <w:pPr>
        <w:pStyle w:val="ListParagraph"/>
        <w:numPr>
          <w:ilvl w:val="0"/>
          <w:numId w:val="2"/>
        </w:numPr>
        <w:spacing w:after="80" w:line="280"/>
      </w:pPr>
      <w:r>
        <w:rPr>
          <w:sz w:val="22"/>
          <w:szCs w:val="22"/>
        </w:rPr>
        <w:t xml:space="preserve">涂覆隔膜和基膜直接进入电芯制造环节，负极材料、PVDF、勃姆石和氧化铝等产品均需要经过客户认证或长期验证；自动化装备项目具有定制化、交付周期长和售后服务要求高等特点。</w:t>
      </w:r>
    </w:p>
    <w:p>
      <w:pPr>
        <w:pStyle w:val="ListParagraph"/>
        <w:numPr>
          <w:ilvl w:val="0"/>
          <w:numId w:val="2"/>
        </w:numPr>
        <w:spacing w:after="80" w:line="280"/>
      </w:pPr>
      <w:r>
        <w:rPr>
          <w:sz w:val="22"/>
          <w:szCs w:val="22"/>
        </w:rPr>
        <w:t xml:space="preserve">2025年审计报告披露，单一客户A销售收入61.13亿元，占公司全年营业收入38.91%；该客户被描述为“某全球领先的新能源创新科技公司”，年报未披露具体名称，不能直接推断为宁德时代、比亚迪或其他具体客户。</w:t>
      </w:r>
    </w:p>
    <w:p>
      <w:pPr>
        <w:pStyle w:val="ListParagraph"/>
        <w:numPr>
          <w:ilvl w:val="0"/>
          <w:numId w:val="2"/>
        </w:numPr>
        <w:spacing w:after="80" w:line="280"/>
      </w:pPr>
      <w:r>
        <w:rPr>
          <w:sz w:val="22"/>
          <w:szCs w:val="22"/>
        </w:rPr>
        <w:t xml:space="preserve">2025年前五大客户合计销售收入占比58.14%，较2024年下降7.75个百分点。该数据为公司年报及审计报告披露的年度数据，客户A名称未公开，具体客户结构仍以最新年报为准。</w:t>
      </w:r>
    </w:p>
    <w:p>
      <w:pPr>
        <w:pStyle w:val="ListParagraph"/>
        <w:numPr>
          <w:ilvl w:val="0"/>
          <w:numId w:val="2"/>
        </w:numPr>
        <w:spacing w:after="80" w:line="280"/>
      </w:pPr>
      <w:r>
        <w:rPr>
          <w:sz w:val="22"/>
          <w:szCs w:val="22"/>
        </w:rPr>
        <w:t xml:space="preserve">截至2025年12月31日，应收账款及应收款项融资中最大客户占比42.57%，前五大客户占比64.79%；2024年对应比例分别为41.31%和69.31%。客户集中度和回款条件对公司影响较大。</w:t>
      </w:r>
    </w:p>
    <w:p>
      <w:pPr>
        <w:pStyle w:val="ListParagraph"/>
        <w:numPr>
          <w:ilvl w:val="0"/>
          <w:numId w:val="2"/>
        </w:numPr>
        <w:spacing w:after="80" w:line="280"/>
      </w:pPr>
      <w:r>
        <w:rPr>
          <w:sz w:val="22"/>
          <w:szCs w:val="22"/>
        </w:rPr>
        <w:t xml:space="preserve">下游电池厂商集中度较高，存在年度降价、成本优化、供应商认证和账期管理等压力；但公司在高端涂覆隔膜、基膜设备、负极材料和功能性材料方面具备技术、认证及供应稳定性壁垒，能够通过“材料＋设备＋工艺”增强客户黏性并形成部分议价能力。</w:t>
      </w:r>
    </w:p>
    <w:p>
      <w:pPr>
        <w:pStyle w:val="ListParagraph"/>
        <w:numPr>
          <w:ilvl w:val="0"/>
          <w:numId w:val="2"/>
        </w:numPr>
        <w:spacing w:after="80" w:line="280"/>
      </w:pPr>
      <w:r>
        <w:rPr>
          <w:sz w:val="22"/>
          <w:szCs w:val="22"/>
        </w:rPr>
        <w:t xml:space="preserve">营运资金证据显示下游客户对回款节奏具有较强影响力：截至2025年12月31日，公司应收账款及应收款项融资中最大客户占比42.57%、前五大客户占比64.79%；2025年经营活动产生的现金流量净额约27亿元，公司解释主要受经营业绩增长、强化存货周转及加大客户回款催收影响。2025年末负极材料库存3.93万吨、涂覆隔膜库存20.28亿平方米、PVDF及含氟聚合物库存0.55万吨，但年报说明上述库存包括已发出但尚未确认收入的发出商品，不能简单等同于全部滞销库存。</w:t>
      </w:r>
    </w:p>
    <w:p>
      <w:pPr>
        <w:pStyle w:val="ListParagraph"/>
        <w:numPr>
          <w:ilvl w:val="0"/>
          <w:numId w:val="2"/>
        </w:numPr>
        <w:spacing w:after="80" w:line="280"/>
      </w:pPr>
      <w:r>
        <w:rPr>
          <w:sz w:val="22"/>
          <w:szCs w:val="22"/>
        </w:rPr>
        <w:t xml:space="preserve">供应商集中度：2025年年报未披露前五大供应商名称、采购金额和供应商占比，数据缺失，无法确认上游供应商集中度。客户集中度：2025年单一客户A收入占比38.91%，前五大客户收入占比58.14%；应收账款及应收款项融资中最大客户占比42.57%、前五大客户占比64.79%。以上为2025年度或2025年末口径，客户A未披露具体名称，且相关集中度数据主要依赖公司年报及审计报告，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主营业务毛利率32.94%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约12.46%（归母净利润约19.12亿元／营业收入约153.40亿元，自行计算）</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负极材料行业供给扩张、产品价格下行及下游客户去库存，导致负极业务毛利率承压；涂覆加工业务相对稳定但未完全抵消负极业务利润下滑。</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主营业务毛利率27.42%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约8.85%（归母净利润约11.91亿元／营业收入约134.48亿元，自行计算）</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负极材料价格竞争和供需错配延续，负极销量和盈利承压；涂覆隔膜和自动化装备仍有增长，但负极价格下行及海外业务下降拖累整体盈利。</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锂电池材料及设备主营业务毛利率31.66%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约15.02%（归母净利润约23.59亿元／营业收入约157.11亿元，自行计算）</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涂覆隔膜加工量增长、基膜自供率提升、PVDF及含氟聚合物放量，以及负极材料石墨化技改、原料配方优化和跨基地协同降本，推动毛利率和净利率修复；新能源电池材料与服务毛利率32.93%，自动化装备与服务毛利率22.39%。</w:t>
            </w:r>
          </w:p>
        </w:tc>
      </w:tr>
    </w:tbl>
    <w:p>
      <w:pPr>
        <w:spacing w:before="200"/>
      </w:pPr>
    </w:p>
    <w:p>
      <w:pPr>
        <w:spacing w:after="160" w:line="300"/>
      </w:pPr>
      <w:r>
        <w:rPr>
          <w:sz w:val="22"/>
          <w:szCs w:val="22"/>
        </w:rPr>
        <w:t xml:space="preserve">公司位于新能源电池产业链中上游，整体更接近“中游材料加工与装备制造”位置，而非上游资源垄断或下游品牌消费环节。利润改善主要取决于涂覆隔膜和基膜产能利用率提升、基膜自供率提高、负极材料一体化降本、设备效率和工艺优化、PVDF及高端功能性材料放量，以及高端快充、硅碳负极和复合涂覆产品占比提升。</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101.15亿元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同比增长42.70%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归母净利润14.52亿元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同比增长37.58%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2025年上半年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70.88亿元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归母净利润10.55亿元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157.11亿元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同比增长16.83%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归母净利润23.59亿元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同比增长98.14%</w:t>
            </w:r>
          </w:p>
        </w:tc>
      </w:tr>
    </w:tbl>
    <w:p>
      <w:pPr>
        <w:spacing w:after="200"/>
      </w:pPr>
      <w:r>
        <w:rPr>
          <w:i/>
          <w:iCs/>
          <w:color w:val="595959"/>
          <w:sz w:val="18"/>
          <w:szCs w:val="18"/>
        </w:rPr>
        <w:t xml:space="preserve">最新可用财报为2026年半年度报告，报告期为2026年1月1日至2026年6月30日，披露日期为2026年8月20日，财报未经审计。2026年上半年扣非归母净利润为13.12亿元，同比增长32.25%；基本每股收益为0.69元，同比增长40.82%；加权平均净资产收益率为6.89%，同比增加1.31个百分点。</w:t>
      </w:r>
    </w:p>
    <w:p>
      <w:pPr>
        <w:spacing w:after="160" w:line="300"/>
      </w:pPr>
      <w:r>
        <w:rPr>
          <w:sz w:val="22"/>
          <w:szCs w:val="22"/>
        </w:rPr>
        <w:t xml:space="preserve">2026年上半年公司收入和利润保持较快增长，经营活动产生的现金流量净额为17.99亿元，同比增长47.05%，高于同期归母净利润，现金流质量相对较好。公司此前预计2026年上半年归母净利润为14亿元至15亿元，最终实现14.52亿元，落在业绩预告区间内。2026年上半年营业成本同比增长54.85%，高于营业收入42.70%的增速，部分原材料涨价及新产能爬坡仍对毛利率形成压力。2025年扣非归母净利润为22.19亿元，同比增长108.74%，基本每股收益为1.12元。</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根据同花顺盈利预测页面，截至2026年9月12日，近6个月共有13家机构对璞泰来2026年度业绩进行预测。上述数据为机构研报预测，不是公司指引，也不是交易所披露的确定数据。2028年预测分歧较大，归母净利润预测区间为47.17亿元至64.80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机构一致预期平均约218.26亿元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归母净利润平均约32.30亿元；预测区间30.45亿至34.14亿元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同比增长约36.94%</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平均1.51元；预测区间1.43元至1.59元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机构一致预期平均约277.69亿元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归母净利润平均约42.99亿元；预测区间40.39亿至45.78亿元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平均2.01元；预测区间1.89元至2.14元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机构一致预期平均约341.31亿元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归母净利润平均约54.31亿元；预测区间47.17亿至64.80亿元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平均2.54元；预测区间2.20元至3.02元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维持“买入”评级，预计2026年至2028年归母净利润为32.4亿元、45.0亿元、64.8亿元；以2027年18倍市盈率估值，目标价37.8元。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维持“买入”评级，预计2026年至2028年归母净利润为32.34亿元、41.71亿元、47.17亿元；给予2026年27倍市盈率估值，目标价40.77元。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银河证券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维持“推荐”评级，预计2026年至2028年归母净利润约32亿元、43亿元、53亿元，EPS约1.5元、2.0元、2.5元，对应预测市盈率约16倍、12倍、10倍。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近6个月机构评级汇总</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买入、跑赢行业、推荐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2026年4月统计</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共有9家机构发布相关研究报告，其中7家给予“买入”、1家给予“跑赢行业”、1家给予“推荐”；2026年净利润预测均值约32.11亿元，目标价最高47元、最低35元、平均41元。该统计早于8月中报后的最新研报。</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富途</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未提供评级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目标价区间约30.13元至40.77元，平均约35.93元。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Investing.com</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8位分析师的12个月平均目标价约37.65元，最高49.8元、最低19.6元。</w:t>
            </w:r>
          </w:p>
        </w:tc>
      </w:tr>
    </w:tbl>
    <w:p>
      <w:pPr>
        <w:spacing w:before="200"/>
      </w:pPr>
    </w:p>
    <w:p>
      <w:pPr>
        <w:spacing w:after="160" w:line="300"/>
      </w:pPr>
      <w:r>
        <w:rPr>
          <w:sz w:val="22"/>
          <w:szCs w:val="22"/>
        </w:rPr>
        <w:t xml:space="preserve">股价数据截至2026年9月11日收盘，收盘价为21.38元，当日涨跌幅为-2.69%。截至2026年6月30日总股本约21.44亿股，据此估算总市值约458亿元。按2025年实际EPS 1.12元计算，静态市盈率约19.1倍；按机构一致预期EPS计算，2026年至2028年动态PE约为14.2倍、10.6倍和8.4倍。2026年6月30日归属于上市公司股东的净资产为214.04亿元，按约21.44亿股计算，每股净资产约9.98元，对应市净率约2.14倍。当前股价对应2026年机构一致预期PE约14倍，低于部分近期研报采用的2026年20倍至30倍估值假设；若2026年至2028年盈利预测兑现，当前估值在利润持续增长背景下不算高。需要注意，估值较大程度依赖未来两至三年盈利快速增长，若负极、隔膜、PVDF和设备业务放量低于预期，或行业价格竞争导致毛利率继续承压，实际估值可能高于上述计算结果。近期公开机构观点以“买入”“推荐”为主，目标价主要集中在35元至41元附近，但目标价与盈利预测均为卖方机构观点，不属于公司正式业绩承诺。</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为全资子公司提供1.7亿元担保，累计对外担保规模较高</w:t>
      </w:r>
    </w:p>
    <w:p>
      <w:pPr>
        <w:spacing w:after="160" w:line="300"/>
      </w:pPr>
      <w:r>
        <w:rPr>
          <w:sz w:val="22"/>
          <w:szCs w:val="22"/>
        </w:rPr>
        <w:t xml:space="preserve">2026年9月12日，璞泰来披露《关于对子公司提供的担保进展公告》，与兴业银行呼和浩特分行签署《最高额保证合同》，为全资子公司内蒙古紫宸兴丰新能源科技有限公司提供17,000万元担保，保证方式为连带责任保证，保证期间为债务履行期限届满之日起三年。本次担保前，公司对内蒙兴丰的担保余额为2.8亿元；本次担保后，公司及子公司累计向内蒙兴丰提供担保4.5亿元，2026年以来累计提供担保2.5亿元。公司及控股子公司对外担保总额为222.8615亿元，占公司2025年经审计归母净资产的109.07%，目前不存在逾期担保。被担保方主营负极材料石墨化，2026年上半年营业收入10.91亿元、净利润1.61亿元，2025年全年净利润为亏损1.58亿元。公告提示，部分被担保主体资产负债率超过70%，担保规模及资金链风险需持续关注。来源：新浪财经公告镜像及上交所公告。</w:t>
      </w:r>
    </w:p>
    <w:p>
      <w:pPr>
        <w:pStyle w:val="Heading2"/>
        <w:spacing w:after="120" w:before="240"/>
      </w:pPr>
      <w:r>
        <w:rPr>
          <w:b/>
          <w:bCs/>
          <w:color w:val="2E74B5"/>
          <w:sz w:val="24"/>
          <w:szCs w:val="24"/>
        </w:rPr>
        <w:t xml:space="preserve">4.2 2023年回购股份用途变更为注销，拟减少注册资本</w:t>
      </w:r>
    </w:p>
    <w:p>
      <w:pPr>
        <w:spacing w:after="160" w:line="300"/>
      </w:pPr>
      <w:r>
        <w:rPr>
          <w:sz w:val="22"/>
          <w:szCs w:val="22"/>
        </w:rPr>
        <w:t xml:space="preserve">2026年9月8日，公司披露《关于注销回购股份并减少注册资本暨通知债权人的公告》。此前2023年实施回购的975.1415万股股份原计划用于员工持股计划，经董事会及股东会审议通过后变更为注销并减少注册资本。由于2025年股票期权激励计划首次授予部分第一个行权期业绩考核条件满足，截至2026年第二季度末，激励对象自主行权累计新增股份778.5099万股。相关股份注销及期权行权完成后，公司总股本预计由213,639.9076万股变更为213,443.2760万股，预计净减少股本196.6316万股；注册资本同步变更。债权人可自2026年9月8日起至2026年10月22日申报债权。2026年9月7日股东会审议通过相关议案，回购股份用途变更并注销议案赞成票比例为99.9103%，变更注册资本并修订公司章程议案赞成票比例为99.8768%。来源：新浪财经公告镜像及上交所公告。</w:t>
      </w:r>
    </w:p>
    <w:p>
      <w:pPr>
        <w:pStyle w:val="Heading2"/>
        <w:spacing w:after="120" w:before="240"/>
      </w:pPr>
      <w:r>
        <w:rPr>
          <w:b/>
          <w:bCs/>
          <w:color w:val="2E74B5"/>
          <w:sz w:val="24"/>
          <w:szCs w:val="24"/>
        </w:rPr>
        <w:t xml:space="preserve">4.3 2026年新回购方案持续推进，已回购约9,000万元</w:t>
      </w:r>
    </w:p>
    <w:p>
      <w:pPr>
        <w:spacing w:after="160" w:line="300"/>
      </w:pPr>
      <w:r>
        <w:rPr>
          <w:sz w:val="22"/>
          <w:szCs w:val="22"/>
        </w:rPr>
        <w:t xml:space="preserve">2026年9月2日，公司披露《关于股份回购进展公告》。该回购方案于2026年7月22日披露，实施期限为2026年7月21日至2027年7月20日，回购资金总额不低于2亿元、不超过3亿元，回购股份拟用于员工持股计划或股权激励。截至2026年8月31日，公司累计回购383.5100万股，占截至2026年6月30日总股本的0.18%；累计支付资金9,000.02万元，不含交易费用；回购价格区间为22.64元/股至24.22元/股。按回购上限3亿元计算，已完成回购金额约为上限的30.0%；按回购下限2亿元计算，已完成回购金额约为下限的45.0%。该回购方案与9月8日注销的2023年历史回购股份并非同一批股份。来源：新浪财经公告镜像及上交所公告。</w:t>
      </w:r>
    </w:p>
    <w:p>
      <w:pPr>
        <w:pStyle w:val="Heading2"/>
        <w:spacing w:after="120" w:before="240"/>
      </w:pPr>
      <w:r>
        <w:rPr>
          <w:b/>
          <w:bCs/>
          <w:color w:val="2E74B5"/>
          <w:sz w:val="24"/>
          <w:szCs w:val="24"/>
        </w:rPr>
        <w:t xml:space="preserve">4.4 2026年9月未发现新的三季度业绩预告或业绩快报</w:t>
      </w:r>
    </w:p>
    <w:p>
      <w:pPr>
        <w:spacing w:after="160" w:line="300"/>
      </w:pPr>
      <w:r>
        <w:rPr>
          <w:sz w:val="22"/>
          <w:szCs w:val="22"/>
        </w:rPr>
        <w:t xml:space="preserve">截至2026年9月13日，根据公司公告列表及相关关键词检索，暂未发现璞泰来在2026年9月发布新的三季度业绩预告、业绩快报或业绩修正公告。公司此前于2026年7月发布2026年半年度业绩预告，预计2026年上半年归母净利润为14亿元至15亿元，同比增长32.66%至42.14%；扣非归母净利润为12.6亿元至13.6亿元，同比增长27.00%至37.08%，上述数据未经审计。公司已于2026年8月20日披露半年度报告，后续应以正式定期报告数据为准。来源：公司半年度业绩预告及相关公告页面。</w:t>
      </w:r>
    </w:p>
    <w:p>
      <w:pPr>
        <w:pStyle w:val="Heading2"/>
        <w:spacing w:after="120" w:before="240"/>
      </w:pPr>
      <w:r>
        <w:rPr>
          <w:b/>
          <w:bCs/>
          <w:color w:val="2E74B5"/>
          <w:sz w:val="24"/>
          <w:szCs w:val="24"/>
        </w:rPr>
        <w:t xml:space="preserve">4.5 控股子公司嘉拓智能恢复北交所上市审核</w:t>
      </w:r>
    </w:p>
    <w:p>
      <w:pPr>
        <w:spacing w:after="160" w:line="300"/>
      </w:pPr>
      <w:r>
        <w:rPr>
          <w:sz w:val="22"/>
          <w:szCs w:val="22"/>
        </w:rPr>
        <w:t xml:space="preserve">2026年8月27日，公司披露控股子公司江苏嘉拓新能源智能装备股份有限公司申请在北京证券交易所上市的进展公告。嘉拓智能于2026年6月26日向北交所报送申报材料，6月30日收到北交所受理通知，并于同日申请中止审核且获同意。中止审核情形消除后，嘉拓智能于2026年8月24日提交恢复审核申请，北交所于2026年8月25日将其审核状态调整为恢复审核。公司提示，本次发行上市仍存在无法通过北交所审核、中国证监会注册或发行失败的风险。目前该事项仍处于审核过程，不能视为已确定上市或已确定融资规模。来源：新浪财经公告镜像及上交所公告。</w:t>
      </w:r>
    </w:p>
    <w:p>
      <w:pPr>
        <w:pStyle w:val="Heading2"/>
        <w:spacing w:after="120" w:before="240"/>
      </w:pPr>
      <w:r>
        <w:rPr>
          <w:b/>
          <w:bCs/>
          <w:color w:val="2E74B5"/>
          <w:sz w:val="24"/>
          <w:szCs w:val="24"/>
        </w:rPr>
        <w:t xml:space="preserve">4.6 2026年9月未发现新的控股股东增减持、质押及监管处罚事项</w:t>
      </w:r>
    </w:p>
    <w:p>
      <w:pPr>
        <w:spacing w:after="160" w:line="300"/>
      </w:pPr>
      <w:r>
        <w:rPr>
          <w:sz w:val="22"/>
          <w:szCs w:val="22"/>
        </w:rPr>
        <w:t xml:space="preserve">截至2026年9月13日，按相关关键词检索，未发现2026年9月新增控股股东增持、减持或质押公告。较早的股东事项为2026年6月26日控股股东、实际控制人梁丰新增质押4,300万股；该次质押后，梁丰累计质押2.2311亿股，占其直接持股的41.98%，占公司总股本10.41%，该事项不属于2026年9月新增公告。截至2026年9月13日，亦未检索到公司在2026年9月被上海证券交易所、中国证监会等监管机构公开处罚、立案调查或发布问询回复的公告。上述未发现类结论仅代表截至该日期的公开公告检索结果。</w:t>
      </w:r>
    </w:p>
    <w:p>
      <w:pPr>
        <w:pStyle w:val="Heading2"/>
        <w:spacing w:after="120" w:before="240"/>
      </w:pPr>
      <w:r>
        <w:rPr>
          <w:b/>
          <w:bCs/>
          <w:color w:val="2E74B5"/>
          <w:sz w:val="24"/>
          <w:szCs w:val="24"/>
        </w:rPr>
        <w:t xml:space="preserve">4.7 2026年9月未发现重大并购公告，早期投资事项不属于新增公告</w:t>
      </w:r>
    </w:p>
    <w:p>
      <w:pPr>
        <w:spacing w:after="160" w:line="300"/>
      </w:pPr>
      <w:r>
        <w:rPr>
          <w:sz w:val="22"/>
          <w:szCs w:val="22"/>
        </w:rPr>
        <w:t xml:space="preserve">截至2026年9月13日，未发现璞泰来在2026年9月新披露重大并购公告。2026年较早期的重要投资及资产事项包括：2026年1月，公司拟以2.4亿元现金收购乳源东阳光氟树脂有限公司5%股权，交易完成后持股比例拟由55%提升至60%；2026年3月，公司拟通过全资孙公司投资2.97亿美元，在马来西亚建设年产5万吨锂离子电池负极材料基地；2026年5月至6月，公司股东会审议通过年产72亿平方米锂离子电池隔膜建设项目及相关担保、融资事项。上述事项属于2026年较早期项目进展，并非9月新增公告。</w:t>
      </w:r>
    </w:p>
    <w:p>
      <w:pPr>
        <w:pStyle w:val="Heading2"/>
        <w:spacing w:after="120" w:before="240"/>
      </w:pPr>
      <w:r>
        <w:rPr>
          <w:b/>
          <w:bCs/>
          <w:color w:val="2E74B5"/>
          <w:sz w:val="24"/>
          <w:szCs w:val="24"/>
        </w:rPr>
        <w:t xml:space="preserve">4.8 近期公告主线：回购与股本管理、子公司上市推进及担保风险</w:t>
      </w:r>
    </w:p>
    <w:p>
      <w:pPr>
        <w:spacing w:after="160" w:line="300"/>
      </w:pPr>
      <w:r>
        <w:rPr>
          <w:sz w:val="22"/>
          <w:szCs w:val="22"/>
        </w:rPr>
        <w:t xml:space="preserve">截至2026年9月13日，璞泰来近期公告主要集中于回购与股本管理、激励机制落地、控股子公司资本运作及担保事项。公司继续实施2亿至3亿元的新回购计划，截至2026年8月31日已回购并支付资金9,000.02万元；同时拟注销2023年回购的975.1415万股股份，注销与期权行权新增股份778.5099万股综合影响后，预计净减少股本196.6316万股。控股子公司嘉拓智能已恢复北交所上市审核，但仍存在审核、注册及发行失败风险。9月12日新增1.7亿元担保后，公司及控股子公司对外担保总额达到222.8615亿元，占2025年经审计归母净资产的109.07%，目前无逾期担保，但担保规模及部分被担保主体较高的资产负债率需持续关注。</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603659 璞泰来</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21.38元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-2.69%，较前一交易日下跌0.59元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开盘21.71元，最高21.77元，最低20.92元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约2587.64万股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约5.5亿元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约1.21%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约458.43亿元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20.92~37.66元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阶段表现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2026年8月13日至9月11日由24.12元下跌至21.38元，区间跌幅约11.4%</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约22.00元；2026年9月11日收盘价低于MA5约0.62元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股价处于5日均线下方，短线趋势偏弱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约22.21元；收盘价低于MA10约0.83元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短期反弹尚未形成，价格仍处于10日均线下方</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约23.18元；收盘价低于MA20约1.80元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中短期趋势偏空，20日均线构成上方压力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外部均线参考</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英为财情2026年9月10日：MA5约21.95元、MA10约21.99元、MA20约22.12元、MA50约22.65元、MA100约23.44元、MA200约23.60元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多数均线位于股价上方，平台综合判断偏弱；9月11日进一步下跌后，实际均线位置可能有所下移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约-0.22，数据截至2026年9月10日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位于零轴下方，技术信号为“卖出”，短期动能偏弱；尚未出现明确止跌或金叉确认</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约36.34，数据截至2026年9月10日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技术信号为“卖出”，已接近30附近的超卖参考区域但尚未进入极端超卖；不等于股价必然反弹</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中轨约23.18元，上轨约25.18元，下轨约21.19元；按最近20个交易日收盘价、20日均线及2倍标准差计算</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收盘价21.38元接近下轨，盘中最低20.92元一度跌破估算下轨；若有效跌破20.9~21.0元，下轨支撑可能失效</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成交量与价格</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9月11日成交量约2588万股，9月10日约1097万股</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下跌伴随放量，短线空方压力增强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9月11日超大单净流出3237.18万元、大单净流出5774.97万元，合计净流出约9012.15万元，主力净占比约-16.42%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大资金卖出压力显著；中单、小单分别净流入3008.73万元和6003.42万元，但未抵消超大单及大单流出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阶段趋势</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9月1日至9月11日由22.96元下行至21.38元，区间跌幅约6.9%；9月11日盘中低点20.92元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股价自8月中旬25元附近逐步回落，跌破23元后继续走弱，当前接近52周低位区域</w:t>
            </w:r>
          </w:p>
        </w:tc>
      </w:tr>
    </w:tbl>
    <w:p>
      <w:pPr>
        <w:spacing w:before="200"/>
      </w:pPr>
    </w:p>
    <w:p>
      <w:pPr>
        <w:spacing w:after="160" w:line="300"/>
      </w:pPr>
      <w:r>
        <w:rPr>
          <w:sz w:val="22"/>
          <w:szCs w:val="22"/>
        </w:rPr>
        <w:t xml:space="preserve">截至2026年9月11日，璞泰来收盘21.38元，股价低于MA5、MA10和MA20，MACD处于零轴下方，RSI约36.34，技术面整体偏弱。股价已接近布林带下轨及52周低点20.92元，存在下轨附近技术性反弹可能，但9月11日出现下跌放量，且超大单、大单合计净流出约9012.15万元，尚未形成明确的止跌或反转确认。当前技术面更突出的是下方支撑有效性与资金承接情况，而非单一方向判断。</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风险提示：以下内容仅为基于2026年9月11日收盘数据、历史价格及技术指标的主观情景推演，不构成投资建议，也不构成对未来实际走势的保证。</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22.0~22.4元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对应MA5约22.00元、MA10约22.21元及近期22.0~22.4元收盘密集区；若有效突破22.4元，观察22.7~23.2元区域，23.18元附近对应MA20及布林带中轨</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21.1~21.4元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对应布林带下轨估算约21.19元及9月11日收盘价21.38元，为下轨附近技术承接区；重新站回并稳定于该区间上方，有利于形成低位震荡</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20.9~21.1元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对应9月11日盘中低点20.92元及当前数据显示的52周低点约20.92元；若有效跌破20.9元，52周低点支撑可能失效，短线可能向20元附近或更低区间寻找支撑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低位震荡整理（主观启发式权重相对较高，约五成至六成；这是基于当前技术与资金流向的主观判断，不是统计概率）：价格区间约21.0~22.2元。触发条件包括20.9~21.1元获得承接、成交额回落至约3亿~5亿元、股价重新收复21.4元但尚未有效突破22.0~22.2元。若成立，股价可能在21元附近反复震荡，等待成交量和MACD进一步确认</w:t>
      </w:r>
    </w:p>
    <w:p>
      <w:pPr>
        <w:pStyle w:val="ListParagraph"/>
        <w:numPr>
          <w:ilvl w:val="0"/>
          <w:numId w:val="2"/>
        </w:numPr>
        <w:spacing w:after="80" w:line="280"/>
      </w:pPr>
      <w:r>
        <w:rPr>
          <w:sz w:val="22"/>
          <w:szCs w:val="22"/>
        </w:rPr>
        <w:t xml:space="preserve">偏弱下行（主观启发式权重中等，约三成；这是基于当前技术与资金流向的主观判断，不是统计概率）：价格区间约20.0~21.1元。触发条件包括收盘价有效跌破20.9~21.0元、主力资金连续净流出、下跌日成交额持续高于近期正常水平并达到约6亿元以上，以及锂电材料板块或大盘风险偏好同步走弱。当前数据未显示20.9元下方更强的明确支撑位</w:t>
      </w:r>
    </w:p>
    <w:p>
      <w:pPr>
        <w:pStyle w:val="ListParagraph"/>
        <w:numPr>
          <w:ilvl w:val="0"/>
          <w:numId w:val="2"/>
        </w:numPr>
        <w:spacing w:after="80" w:line="280"/>
      </w:pPr>
      <w:r>
        <w:rPr>
          <w:sz w:val="22"/>
          <w:szCs w:val="22"/>
        </w:rPr>
        <w:t xml:space="preserve">反弹走强（主观启发式权重偏低，约一成至两成；这是基于当前技术与资金流向的主观判断，不是统计概率）：价格区间约22.2~23.2元。触发条件包括股价重新站上22.0~22.2元、成交额放大至约8亿元以上并连续维持、超大单及大单资金由净流出转为净流入，以及进一步突破22.4元。若突破23.2元，才意味着重新站上MA20及布林带中轨，技术面可能由弱势反弹转向阶段性修复</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约1.21%，成交额约5.5亿元，成交量约2588万股；近期成交额大致处于2.4亿~9.5亿元区间，9月10日约2.41亿元、9月9日约4.60亿元、9月8日约4.45亿元、9月7日约3.62亿元，8月21日约9.38亿元，8月24日至8月26日约6.3亿~7.4亿元。9月11日成交额高于前一交易日但低于8月中下旬部分放量交易日，结合股价下跌及主力资金净流出，更接近下跌放量、资金承接不足，而非明确的放量吸筹信号。股东结构数据截至2026年6月30日：前十大流通股东合计持股约60.73%，股东总户数153,382户，较2026年3月31日增加约8.20%，人均持股约13,979股，较上一报告期下降。前十大股东中可确认有香港中央结算有限公司、华夏能源革新股票型证券投资基金及中国人寿传统保险产品，但公募基金、保险资金占比不高，前四大股东主要为实际控制人、管理层及一致行动人或关联投资平台。上述股东数据距2026年9月11日已有约两个多月滞后，不能代表当前实际筹码变化；较高的名义集中度意味着实际可交易筹码可能低于总流通股本，而股东户数增加、人均持股下降显示核心股东之外的筹码可能有所分散。若未来一周连续两个交易日成交额达到或超过约8亿元，同时超大单和大单合计转为净流入，且收盘重新站上22.2~22.4元，可作为资金承接增强的观察信号；若放量但主力资金继续净流出，则更可能属于下跌过程中的抛压释放。</w:t>
      </w:r>
    </w:p>
    <w:p>
      <w:pPr>
        <w:spacing w:after="160" w:line="300"/>
      </w:pPr>
      <w:r>
        <w:rPr>
          <w:sz w:val="22"/>
          <w:szCs w:val="22"/>
        </w:rPr>
        <w:t xml:space="preserve">可检查的量价确认信号是：连续两个交易日成交额达到或超过约8亿元，同时超大单和大单合计转为净流入，且股价收盘重新站上22.2~22.4元；该信号仅用于观察资金承接是否增强。</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观察20.9~21.1元区域能否守住；有效跌破该区域将削弱52周低点支撑，并可能打开向20元附近或更低区间寻找支撑的空间。</w:t>
      </w:r>
    </w:p>
    <w:p>
      <w:pPr>
        <w:pStyle w:val="ListParagraph"/>
        <w:numPr>
          <w:ilvl w:val="0"/>
          <w:numId w:val="2"/>
        </w:numPr>
        <w:spacing w:after="80" w:line="280"/>
      </w:pPr>
      <w:r>
        <w:rPr>
          <w:sz w:val="22"/>
          <w:szCs w:val="22"/>
        </w:rPr>
        <w:t xml:space="preserve">观察21.4元能否重新收复，以及22.0~22.4元压力区能否有效突破；23.18元附近对应MA20及布林带中轨。</w:t>
      </w:r>
    </w:p>
    <w:p>
      <w:pPr>
        <w:pStyle w:val="ListParagraph"/>
        <w:numPr>
          <w:ilvl w:val="0"/>
          <w:numId w:val="2"/>
        </w:numPr>
        <w:spacing w:after="80" w:line="280"/>
      </w:pPr>
      <w:r>
        <w:rPr>
          <w:sz w:val="22"/>
          <w:szCs w:val="22"/>
        </w:rPr>
        <w:t xml:space="preserve">观察成交额能否由近期约5亿~6亿元水平放大至约8亿元以上，并与超大单、大单资金净流入同步。</w:t>
      </w:r>
    </w:p>
    <w:p>
      <w:pPr>
        <w:pStyle w:val="ListParagraph"/>
        <w:numPr>
          <w:ilvl w:val="0"/>
          <w:numId w:val="2"/>
        </w:numPr>
        <w:spacing w:after="80" w:line="280"/>
      </w:pPr>
      <w:r>
        <w:rPr>
          <w:sz w:val="22"/>
          <w:szCs w:val="22"/>
        </w:rPr>
        <w:t xml:space="preserve">观察RSI是否从36附近继续下探，或出现价格创新低而RSI不再创新低的背离迹象。以上均为观察思路，非操作指令。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璞泰来覆盖隔膜、负极材料、功能性材料和锂电设备等多个细分行业。行业共同特征是下游新能源电池需求增长、客户认证周期较长、技术和规模并重，同时面临产能扩张、价格竞争及成本下降压力。公司年报引用EVTank数据，相关行业数据属于公司年报引用口径。</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隔膜行业：2025年中国锂离子电池隔膜出货量328.5亿平方米，同比增长44.4%；湿法隔膜出货量265.2亿平方米，同比增长51.6%，占比80.7%，高于2024年的76.9%。竞争重点由单纯扩产转向设备效率、良品率、单位能耗、材料创新和个性化解决方案。</w:t>
      </w:r>
    </w:p>
    <w:p>
      <w:pPr>
        <w:pStyle w:val="ListParagraph"/>
        <w:numPr>
          <w:ilvl w:val="0"/>
          <w:numId w:val="2"/>
        </w:numPr>
        <w:spacing w:after="80" w:line="280"/>
      </w:pPr>
      <w:r>
        <w:rPr>
          <w:sz w:val="22"/>
          <w:szCs w:val="22"/>
        </w:rPr>
        <w:t xml:space="preserve">璞泰来在隔膜领域以涂覆加工为核心，并向基膜、涂覆设备、涂覆材料和工艺服务延伸；优势在于涂覆规模、工艺经验、客户认证和“材料＋设备＋工艺”协同，风险在于湿法基膜产能扩张带来的供给增加及后发高效产能的低成本竞争。</w:t>
      </w:r>
    </w:p>
    <w:p>
      <w:pPr>
        <w:pStyle w:val="ListParagraph"/>
        <w:numPr>
          <w:ilvl w:val="0"/>
          <w:numId w:val="2"/>
        </w:numPr>
        <w:spacing w:after="80" w:line="280"/>
      </w:pPr>
      <w:r>
        <w:rPr>
          <w:sz w:val="22"/>
          <w:szCs w:val="22"/>
        </w:rPr>
        <w:t xml:space="preserve">负极材料行业：2025年中国负极材料出货量292.2万吨，同比增长38.1%；其中人造石墨出货量254万吨。行业竞争核心为成本控制、产能规模和技术创新，硅基负极、锂金属负极等新技术可能改变未来竞争格局。</w:t>
      </w:r>
    </w:p>
    <w:p>
      <w:pPr>
        <w:pStyle w:val="ListParagraph"/>
        <w:numPr>
          <w:ilvl w:val="0"/>
          <w:numId w:val="2"/>
        </w:numPr>
        <w:spacing w:after="80" w:line="280"/>
      </w:pPr>
      <w:r>
        <w:rPr>
          <w:sz w:val="22"/>
          <w:szCs w:val="22"/>
        </w:rPr>
        <w:t xml:space="preserve">璞泰来负极材料定位于中高端人造石墨，并布局快充、高容量、低膨胀、长循环和硅碳负极等差异化产品，但仍面临行业产能扩张、产品价格下降和新进入者低成本竞争压力。</w:t>
      </w:r>
    </w:p>
    <w:p>
      <w:pPr>
        <w:pStyle w:val="ListParagraph"/>
        <w:numPr>
          <w:ilvl w:val="0"/>
          <w:numId w:val="2"/>
        </w:numPr>
        <w:spacing w:after="80" w:line="280"/>
      </w:pPr>
      <w:r>
        <w:rPr>
          <w:sz w:val="22"/>
          <w:szCs w:val="22"/>
        </w:rPr>
        <w:t xml:space="preserve">功能性材料行业：PVDF、勃姆石和氧化铝等产品的竞争重点由简单扩产转向客户认证、纯度、粒径分布、分散性和电池性能适配；进入核心电池供应链并具备规模化供应能力的企业，具有更强客户黏性和盈利稳定性。</w:t>
      </w:r>
    </w:p>
    <w:p>
      <w:pPr>
        <w:pStyle w:val="ListParagraph"/>
        <w:numPr>
          <w:ilvl w:val="0"/>
          <w:numId w:val="2"/>
        </w:numPr>
        <w:spacing w:after="80" w:line="280"/>
      </w:pPr>
      <w:r>
        <w:rPr>
          <w:sz w:val="22"/>
          <w:szCs w:val="22"/>
        </w:rPr>
        <w:t xml:space="preserve">锂电设备行业：属于技术密集型行业，涉及机械、电子、电气、化学、材料、自动控制和软件系统；竞争重点包括技术积累、项目交付、售后服务、整线协同及持续迭代能力。璞泰来设备业务与自身材料和工艺业务协同，但仍面临专业设备厂商竞争。</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恩捷股份（002812）</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湿法隔膜、基膜及涂覆隔膜</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在湿法隔膜基膜规模、全球客户覆盖和海外产能方面具有较强优势，是璞泰来隔膜业务的直接大型竞争对手；璞泰来更突出涂覆加工规模、涂覆材料和设备协同。</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星源材质（300568）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湿法及干法隔膜、涂覆隔膜</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具有较完整隔膜产品体系并布局海外生产基地，与璞泰来在湿法隔膜和涂覆隔膜领域直接竞争；璞泰来在涂覆加工规模和设备协同方面更突出。</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中材科技（002080）</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隔膜、湿法基膜和涂覆隔膜</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具有资金、制造和大型项目建设能力，在隔膜基膜领域是重要竞争者；其优势偏向规模化基膜制造和集团资源协同。</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贝特瑞（835185）</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天然石墨、人造石墨、硅基负极及其他负极材料</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天然石墨和硅基负极布局较深；璞泰来更综合地覆盖中高端人造石墨、石墨化协同、涂覆隔膜和锂电设备。</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杉杉股份（600884）</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人造石墨负极、硅基负极及电池材料</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在负极材料规模、技术积累和全球化布局方面具有较强竞争力；璞泰来业务组合更分散，拥有隔膜涂覆、PVDF和设备业务协同。</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中科电气（300035）</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负极材料</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负极材料业务的重要竞争对手。</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尚太科技（001301）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负极材料</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负极材料业务的重要竞争对手。</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先导智能（300450）</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锂电设备</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锂电设备业务主要可比公司之一。</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赢合科技（300457）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锂电设备</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锂电设备业务主要可比公司之一。</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杭可科技（688006）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锂电设备</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锂电设备业务主要可比公司之一。</w:t>
            </w:r>
          </w:p>
        </w:tc>
      </w:tr>
    </w:tbl>
    <w:p>
      <w:pPr>
        <w:spacing w:before="200"/>
      </w:pPr>
    </w:p>
    <w:p>
      <w:pPr>
        <w:spacing w:after="160" w:line="300"/>
      </w:pPr>
      <w:r>
        <w:rPr>
          <w:sz w:val="22"/>
          <w:szCs w:val="22"/>
        </w:rPr>
        <w:t xml:space="preserve">璞泰来与单一隔膜、负极或设备企业并非完全同质。公司差异化在于涂覆隔膜规模、基膜设备自主集成、负极材料、功能性材料、自动化装备和极片代工形成的“材料＋设备＋工艺”协同。公开行业资料通常将璞泰来、先导智能和赢合科技列为锂电设备综合竞争力较强的企业，但该比较多为行业研究口径，不能简单视为公司官方排名，也不宜直接据此进行整体估值或盈利能力横向比较。</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客户集中度和回款风险较高：2025年单一客户销售收入占比38.91%，前五大客户占比58.14%；应收账款及应收款项融资中最大客户占比42.57%，前五大客户占比64.79%。若核心客户采购、议价或回款节奏发生变化，可能对收入确认、现金流和营运资金造成较大影响。</w:t>
      </w:r>
    </w:p>
    <w:p>
      <w:pPr>
        <w:pStyle w:val="ListParagraph"/>
        <w:numPr>
          <w:ilvl w:val="0"/>
          <w:numId w:val="2"/>
        </w:numPr>
        <w:spacing w:after="80" w:line="280"/>
      </w:pPr>
      <w:r>
        <w:rPr>
          <w:sz w:val="22"/>
          <w:szCs w:val="22"/>
        </w:rPr>
        <w:t xml:space="preserve">对外担保规模较大：截至2026年9月12日，公司及控股子公司对外担保总额为222.8615亿元，占2025年经审计归母净资产的109.07%。被担保主体中部分资产负债率超过70%，尽管目前不存在逾期担保，但相关子公司经营或偿债能力变化可能增加上市公司或有负债风险。</w:t>
      </w:r>
    </w:p>
    <w:p>
      <w:pPr>
        <w:pStyle w:val="ListParagraph"/>
        <w:numPr>
          <w:ilvl w:val="0"/>
          <w:numId w:val="2"/>
        </w:numPr>
        <w:spacing w:after="80" w:line="280"/>
      </w:pPr>
      <w:r>
        <w:rPr>
          <w:sz w:val="22"/>
          <w:szCs w:val="22"/>
        </w:rPr>
        <w:t xml:space="preserve">毛利率面临成本与价格双重压力：2026年上半年营业成本同比增长54.85%，高于营业收入42.70%的增速，部分原材料涨价及新产能爬坡已经对毛利率形成压力。石油焦、针状焦、聚烯烃树脂、含氟化工原料、陶瓷粉体及电力等投入品价格波动，可能削弱负极、隔膜和功能性材料业务的盈利修复。</w:t>
      </w:r>
    </w:p>
    <w:p>
      <w:pPr>
        <w:pStyle w:val="ListParagraph"/>
        <w:numPr>
          <w:ilvl w:val="0"/>
          <w:numId w:val="2"/>
        </w:numPr>
        <w:spacing w:after="80" w:line="280"/>
      </w:pPr>
      <w:r>
        <w:rPr>
          <w:sz w:val="22"/>
          <w:szCs w:val="22"/>
        </w:rPr>
        <w:t xml:space="preserve">负极、隔膜和功能性材料存在产能扩张及产品价格下行风险：行业竞争重点仍包括规模、成本和客户认证，公司虽然拥有涂覆加工、负极和PVDF等产能及协同能力，但若行业供给增加、客户持续降价或产能利用率不足，可能导致收入增长与利润增长不匹配。</w:t>
      </w:r>
    </w:p>
    <w:p>
      <w:pPr>
        <w:pStyle w:val="ListParagraph"/>
        <w:numPr>
          <w:ilvl w:val="0"/>
          <w:numId w:val="2"/>
        </w:numPr>
        <w:spacing w:after="80" w:line="280"/>
      </w:pPr>
      <w:r>
        <w:rPr>
          <w:sz w:val="22"/>
          <w:szCs w:val="22"/>
        </w:rPr>
        <w:t xml:space="preserve">新产能和海外项目存在建设及爬坡不确定性：公司推进隔膜建设项目，并计划在马来西亚投资建设年产5万吨锂离子电池负极材料基地；若项目建设、设备调试、客户认证或产能爬坡低于预期，可能带来资本占用、折旧增加及盈利兑现延迟。</w:t>
      </w:r>
    </w:p>
    <w:p>
      <w:pPr>
        <w:pStyle w:val="ListParagraph"/>
        <w:numPr>
          <w:ilvl w:val="0"/>
          <w:numId w:val="2"/>
        </w:numPr>
        <w:spacing w:after="80" w:line="280"/>
      </w:pPr>
      <w:r>
        <w:rPr>
          <w:sz w:val="22"/>
          <w:szCs w:val="22"/>
        </w:rPr>
        <w:t xml:space="preserve">设备业务存在订单兑现和交付风险：2025年自动化装备与服务新接订单金额同比增长130.9%，但锂电设备项目具有定制化、交付周期长和售后服务要求高等特点。订单增长能否按期转化为收入和利润，仍取决于客户投资进度、项目交付及验收情况。</w:t>
      </w:r>
    </w:p>
    <w:p>
      <w:pPr>
        <w:pStyle w:val="ListParagraph"/>
        <w:numPr>
          <w:ilvl w:val="0"/>
          <w:numId w:val="2"/>
        </w:numPr>
        <w:spacing w:after="80" w:line="280"/>
      </w:pPr>
      <w:r>
        <w:rPr>
          <w:sz w:val="22"/>
          <w:szCs w:val="22"/>
        </w:rPr>
        <w:t xml:space="preserve">短期技术面和资金面偏弱：截至2026年9月11日，股价低于MA5、MA10和MA20，MACD位于零轴下方，9月11日下跌伴随成交量放大，超大单及大单合计净流出约9012万元。若20.9—21.1元区域失守，短期价格支撑可能进一步减弱；技术指标仅反映历史价格和资金变化，不能代表基本面或未来走势。</w:t>
      </w:r>
    </w:p>
    <w:p>
      <w:pPr>
        <w:pStyle w:val="ListParagraph"/>
        <w:numPr>
          <w:ilvl w:val="0"/>
          <w:numId w:val="2"/>
        </w:numPr>
        <w:spacing w:after="80" w:line="280"/>
      </w:pPr>
      <w:r>
        <w:rPr>
          <w:sz w:val="22"/>
          <w:szCs w:val="22"/>
        </w:rPr>
        <w:t xml:space="preserve">业绩预测存在较大兑现差异：机构一致预期显示2026—2028年归母净利润持续增长，但2028年预测区间为47.17亿元至64.80亿元，分歧较大。若隔膜、负极、PVDF或设备业务放量低于预期，或行业价格竞争导致毛利率下降，实际盈利可能低于市场预测。</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璞泰来的核心增长逻辑来自隔膜涂覆放量、基膜自供率提升、负极材料一体化降本、PVDF及其他功能性材料扩张，以及自动化装备订单增长。2026年上半年业绩和经营现金流保持较快增长，表明前述业务协同和盈利修复仍在延续；机构对2026—2028年归母净利润的平均预期分别约为32.30亿元、42.99亿元和54.31亿元，但这些数据属于卖方机构预测，并非公司业绩承诺。</w:t>
      </w:r>
    </w:p>
    <w:p>
      <w:pPr>
        <w:spacing w:after="160" w:line="300"/>
      </w:pPr>
      <w:r>
        <w:rPr>
          <w:sz w:val="22"/>
          <w:szCs w:val="22"/>
        </w:rPr>
        <w:t xml:space="preserve">公司未来盈利弹性仍取决于新产能爬坡、产能利用率、产品价格、原材料成本和客户需求等因素。隔膜、负极和PVDF等业务均面临行业扩产及价格竞争，设备业务则面临项目交付、定制化和专业设备厂商竞争；同时，公司对外担保总额已达222.86亿元，占2025年经审计归母净资产的109.07%，部分被担保主体资产负债率超过70%，资本开支、担保规模与经营回款需要持续跟踪。</w:t>
      </w:r>
    </w:p>
    <w:p>
      <w:pPr>
        <w:spacing w:after="160" w:line="300"/>
      </w:pPr>
      <w:r>
        <w:rPr>
          <w:sz w:val="22"/>
          <w:szCs w:val="22"/>
        </w:rPr>
        <w:t xml:space="preserve">估值层面，21.38元股价对应2025年静态市盈率约19.1倍，按机构一致预期对应2026—2028年动态市盈率约14.2倍、10.6倍和8.4倍，表面上反映了对未来利润增长的部分预期；但若业务放量不及预期、毛利率继续承压或担保及客户回款风险上升，当前估值所依赖的盈利增长假设可能需要重新评估。</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上海璞泰来新能源科技集团股份有限公司2025年年度报告 — https://static.cninfo.com.cn/finalpage/2026-03-06/1224998510.PDF</w:t>
      </w:r>
    </w:p>
    <w:p>
      <w:pPr>
        <w:spacing w:after="200"/>
      </w:pPr>
      <w:r>
        <w:rPr>
          <w:i/>
          <w:iCs/>
          <w:color w:val="595959"/>
          <w:sz w:val="18"/>
          <w:szCs w:val="18"/>
        </w:rPr>
        <w:t xml:space="preserve">璞泰来(603659)_公司公告_璞泰来：2025年年度报告新浪财经_新浪网 — https://money.finance.sina.com.cn/corp/view/vCB_AllBulletinDetail.php?id=11983558&amp;stockid=603659&amp;utm_source=openai</w:t>
      </w:r>
    </w:p>
    <w:p>
      <w:pPr>
        <w:spacing w:after="200"/>
      </w:pPr>
      <w:r>
        <w:rPr>
          <w:i/>
          <w:iCs/>
          <w:color w:val="595959"/>
          <w:sz w:val="18"/>
          <w:szCs w:val="18"/>
        </w:rPr>
        <w:t xml:space="preserve">公司公告_璞泰来：2025年年度审计报告新浪财经_新浪网 — https://vip.stock.finance.sina.com.cn/corp/view/vCB_AllBulletinDetail.php?id=11983551&amp;stockid=</w:t>
      </w:r>
    </w:p>
    <w:p>
      <w:pPr>
        <w:spacing w:after="200"/>
      </w:pPr>
      <w:r>
        <w:rPr>
          <w:i/>
          <w:iCs/>
          <w:color w:val="595959"/>
          <w:sz w:val="18"/>
          <w:szCs w:val="18"/>
        </w:rPr>
        <w:t xml:space="preserve">璞泰来：2023年净利同比下降38.42% 拟10派1.4元|璞泰来_新浪财经_新浪网 — https://finance.sina.com.cn/roll/2024-04-12/doc-inarqyan9951136.shtml?utm_source=openai</w:t>
      </w:r>
    </w:p>
    <w:p>
      <w:pPr>
        <w:spacing w:after="200"/>
      </w:pPr>
      <w:r>
        <w:rPr>
          <w:i/>
          <w:iCs/>
          <w:color w:val="595959"/>
          <w:sz w:val="18"/>
          <w:szCs w:val="18"/>
        </w:rPr>
        <w:t xml:space="preserve">公司公告_璞泰来：2024年年度报告新浪财经_新浪网 — https://vip.stock.finance.sina.com.cn/corp/view/vCB_AllBulletinDetail.php?id=11003648&amp;utm_source=openai</w:t>
      </w:r>
    </w:p>
    <w:p>
      <w:pPr>
        <w:spacing w:after="200"/>
      </w:pPr>
      <w:r>
        <w:rPr>
          <w:i/>
          <w:iCs/>
          <w:color w:val="595959"/>
          <w:sz w:val="18"/>
          <w:szCs w:val="18"/>
        </w:rPr>
        <w:t xml:space="preserve">2025年中国负极材料企业发展潜力排名-排行榜-中商情报网 — https://www.askci.com/news/20250812/150605275498236536313250.shtml?utm_source=openai</w:t>
      </w:r>
    </w:p>
    <w:p>
      <w:pPr>
        <w:spacing w:after="200"/>
      </w:pPr>
      <w:r>
        <w:rPr>
          <w:i/>
          <w:iCs/>
          <w:color w:val="595959"/>
          <w:sz w:val="18"/>
          <w:szCs w:val="18"/>
        </w:rPr>
        <w:t xml:space="preserve">中国锂电设备行业发展现状研究与投资前景分析报告（2026-2033年）_观研报告网 — https://www.chinabaogao.com/baogao/202604/788183.html?utm_source=openai</w:t>
      </w:r>
    </w:p>
    <w:p>
      <w:pPr>
        <w:spacing w:after="200"/>
      </w:pPr>
      <w:r>
        <w:rPr>
          <w:i/>
          <w:iCs/>
          <w:color w:val="595959"/>
          <w:sz w:val="18"/>
          <w:szCs w:val="18"/>
        </w:rPr>
        <w:t xml:space="preserve">璞泰来(603659)_公司公告_璞泰来：2026年半年度报告摘要新浪财经_新浪网 — https://money.finance.sina.com.cn/corp/view/vCB_AllBulletinDetail.php?id=12505313&amp;stockid=603659</w:t>
      </w:r>
    </w:p>
    <w:p>
      <w:pPr>
        <w:spacing w:after="200"/>
      </w:pPr>
      <w:r>
        <w:rPr>
          <w:i/>
          <w:iCs/>
          <w:color w:val="595959"/>
          <w:sz w:val="18"/>
          <w:szCs w:val="18"/>
        </w:rPr>
        <w:t xml:space="preserve">证券代码：603659　　证券简称：璞泰来　　公告编号：2026-061 — https://static.cninfo.com.cn/finalpage/2026-07-20/1225431568.PDF?utm_source=openai</w:t>
      </w:r>
    </w:p>
    <w:p>
      <w:pPr>
        <w:spacing w:after="200"/>
      </w:pPr>
      <w:r>
        <w:rPr>
          <w:i/>
          <w:iCs/>
          <w:color w:val="595959"/>
          <w:sz w:val="18"/>
          <w:szCs w:val="18"/>
        </w:rPr>
        <w:t xml:space="preserve">〖中原锂电池〗璞泰来(603659)年报点评：业绩恢复增长，隔膜显著放量|锂电池_新浪财经_新浪网 — https://finance.sina.com.cn/wm/2026-03-10/doc-inhqmytc6468444.shtml?utm_source=openai</w:t>
      </w:r>
    </w:p>
    <w:p>
      <w:pPr>
        <w:spacing w:after="200"/>
      </w:pPr>
      <w:r>
        <w:rPr>
          <w:i/>
          <w:iCs/>
          <w:color w:val="595959"/>
          <w:sz w:val="18"/>
          <w:szCs w:val="18"/>
        </w:rPr>
        <w:t xml:space="preserve">璞泰来(603659) 盈利预测_F10_同花顺金融服务网 — https://basic.10jqka.com.cn/603659/worth.html</w:t>
      </w:r>
    </w:p>
    <w:p>
      <w:pPr>
        <w:spacing w:after="200"/>
      </w:pPr>
      <w:r>
        <w:rPr>
          <w:i/>
          <w:iCs/>
          <w:color w:val="595959"/>
          <w:sz w:val="18"/>
          <w:szCs w:val="18"/>
        </w:rPr>
        <w:t xml:space="preserve">璞泰来(603659)2026年半年报点评：负极、隔膜放量贡献盈利弹性 业绩符合市场预期__新浪财经_新浪网 — https://stock.finance.sina.com.cn/stock/go.php/vReport_Show/kind/lastest/rptid/840558711191/index.phtml?utm_source=openai</w:t>
      </w:r>
    </w:p>
    <w:p>
      <w:pPr>
        <w:spacing w:after="200"/>
      </w:pPr>
      <w:r>
        <w:rPr>
          <w:i/>
          <w:iCs/>
          <w:color w:val="595959"/>
          <w:sz w:val="18"/>
          <w:szCs w:val="18"/>
        </w:rPr>
        <w:t xml:space="preserve">https://m.igu888.com/ylyc/603659.html?utm_source=openai — https://m.igu888.com/ylyc/603659.html?utm_source=openai</w:t>
      </w:r>
    </w:p>
    <w:p>
      <w:pPr>
        <w:spacing w:after="200"/>
      </w:pPr>
      <w:r>
        <w:rPr>
          <w:i/>
          <w:iCs/>
          <w:color w:val="595959"/>
          <w:sz w:val="18"/>
          <w:szCs w:val="18"/>
        </w:rPr>
        <w:t xml:space="preserve">机构评级|东吴证券给予璞泰来“买入”评级 — https://stock.10jqka.com.cn/20260423/c676220987.shtml</w:t>
      </w:r>
    </w:p>
    <w:p>
      <w:pPr>
        <w:spacing w:after="200"/>
      </w:pPr>
      <w:r>
        <w:rPr>
          <w:i/>
          <w:iCs/>
          <w:color w:val="595959"/>
          <w:sz w:val="18"/>
          <w:szCs w:val="18"/>
        </w:rPr>
        <w:t xml:space="preserve">璞泰来(603659)股票分析师一致预期_市场情绪_英为财情Investing.com — https://cn.investing.com/equities/shanghai-putailai-new-energy-consensus-estimates?utm_source=openai</w:t>
      </w:r>
    </w:p>
    <w:p>
      <w:pPr>
        <w:spacing w:after="200"/>
      </w:pPr>
      <w:r>
        <w:rPr>
          <w:i/>
          <w:iCs/>
          <w:color w:val="595959"/>
          <w:sz w:val="18"/>
          <w:szCs w:val="18"/>
        </w:rPr>
        <w:t xml:space="preserve">璞泰来(603659)股票历史数据:历史行情,价格,走势图表_英为财情Investing.com — https://cn.investing.com/equities/shanghai-putailai-new-energy-historical-data?utm_source=openai</w:t>
      </w:r>
    </w:p>
    <w:p>
      <w:pPr>
        <w:spacing w:after="200"/>
      </w:pPr>
      <w:r>
        <w:rPr>
          <w:i/>
          <w:iCs/>
          <w:color w:val="595959"/>
          <w:sz w:val="18"/>
          <w:szCs w:val="18"/>
        </w:rPr>
        <w:t xml:space="preserve">璞泰来(603659)_公司公告_璞泰来：关于对子公司提供的担保进展公告新浪财经_新浪网 — https://money.finance.sina.com.cn/corp/view/vCB_AllBulletinDetail.php?id=12596581&amp;stockid=603659</w:t>
      </w:r>
    </w:p>
    <w:p>
      <w:pPr>
        <w:spacing w:after="200"/>
      </w:pPr>
      <w:r>
        <w:rPr>
          <w:i/>
          <w:iCs/>
          <w:color w:val="595959"/>
          <w:sz w:val="18"/>
          <w:szCs w:val="18"/>
        </w:rPr>
        <w:t xml:space="preserve">璞泰来(603659)_公司公告_璞泰来：关于注销回购股份并减少注册资本暨通知债权人的公告新浪财经_新浪网 — https://money.finance.sina.com.cn/corp/view/vCB_AllBulletinDetail.php?id=12588314&amp;stockid=603659</w:t>
      </w:r>
    </w:p>
    <w:p>
      <w:pPr>
        <w:spacing w:after="200"/>
      </w:pPr>
      <w:r>
        <w:rPr>
          <w:i/>
          <w:iCs/>
          <w:color w:val="595959"/>
          <w:sz w:val="18"/>
          <w:szCs w:val="18"/>
        </w:rPr>
        <w:t xml:space="preserve">璞泰来(603659)_公司公告_璞泰来：关于股份回购进展公告新浪财经_新浪网 — https://money.finance.sina.com.cn/corp/view/vCB_AllBulletinDetail.php?id=12578087&amp;stockid=603659</w:t>
      </w:r>
    </w:p>
    <w:p>
      <w:pPr>
        <w:spacing w:after="200"/>
      </w:pPr>
      <w:r>
        <w:rPr>
          <w:i/>
          <w:iCs/>
          <w:color w:val="595959"/>
          <w:sz w:val="18"/>
          <w:szCs w:val="18"/>
        </w:rPr>
        <w:t xml:space="preserve">璞泰来(603659)_公司公告_璞泰来：关于控股子公司江苏嘉拓新能源智能装备股份有限公司申请公开发行股票并在北京证券交易所上市进展的提示性公告新浪财经_新浪网 — https://money.finance.sina.com.cn/corp/view/vCB_AllBulletinDetail.php?id=12544021&amp;stockid=603659</w:t>
      </w:r>
    </w:p>
    <w:p>
      <w:pPr>
        <w:spacing w:after="200"/>
      </w:pPr>
      <w:r>
        <w:rPr>
          <w:i/>
          <w:iCs/>
          <w:color w:val="595959"/>
          <w:sz w:val="18"/>
          <w:szCs w:val="18"/>
        </w:rPr>
        <w:t xml:space="preserve">璞泰来(603659) 公司大事_F10_同花顺金融服务网 — https://basic.10jqka.com.cn/603659/event.html</w:t>
      </w:r>
    </w:p>
    <w:p>
      <w:pPr>
        <w:spacing w:after="200"/>
      </w:pPr>
      <w:r>
        <w:rPr>
          <w:i/>
          <w:iCs/>
          <w:color w:val="595959"/>
          <w:sz w:val="18"/>
          <w:szCs w:val="18"/>
        </w:rPr>
        <w:t xml:space="preserve">上海璞泰来新能源科技集团股份有限公司2026年半年度报告 — https://static.cninfo.com.cn/finalpage/2026-08-20/1225482316.PDF?utm_source=openai</w:t>
      </w:r>
    </w:p>
    <w:p>
      <w:pPr>
        <w:spacing w:after="200"/>
      </w:pPr>
      <w:r>
        <w:rPr>
          <w:i/>
          <w:iCs/>
          <w:color w:val="595959"/>
          <w:sz w:val="18"/>
          <w:szCs w:val="18"/>
        </w:rPr>
        <w:t xml:space="preserve">璞泰来(603659)股票历史数据:历史行情,价格,走势图表_英为财情Investing.com — https://cn.investing.com/equities/shanghai-putailai-new-energy-historical-data</w:t>
      </w:r>
    </w:p>
    <w:p>
      <w:pPr>
        <w:spacing w:after="200"/>
      </w:pPr>
      <w:r>
        <w:rPr>
          <w:i/>
          <w:iCs/>
          <w:color w:val="595959"/>
          <w:sz w:val="18"/>
          <w:szCs w:val="18"/>
        </w:rPr>
        <w:t xml:space="preserve">璞泰来（603659.SH），股票股价，实时行情，新闻，财报数据 | 华盛通 — https://www.hstong.com/quotes/30000-603659-SH?utm_source=openai</w:t>
      </w:r>
    </w:p>
    <w:p>
      <w:pPr>
        <w:spacing w:after="200"/>
      </w:pPr>
      <w:r>
        <w:rPr>
          <w:i/>
          <w:iCs/>
          <w:color w:val="595959"/>
          <w:sz w:val="18"/>
          <w:szCs w:val="18"/>
        </w:rPr>
        <w:t xml:space="preserve">璞泰来(603659)_股票行情，行情首页_中财网 — https://quotewh.cfi.cn/quote49527_603659.html?utm_source=openai</w:t>
      </w:r>
    </w:p>
    <w:p>
      <w:pPr>
        <w:spacing w:after="200"/>
      </w:pPr>
      <w:r>
        <w:rPr>
          <w:i/>
          <w:iCs/>
          <w:color w:val="595959"/>
          <w:sz w:val="18"/>
          <w:szCs w:val="18"/>
        </w:rPr>
        <w:t xml:space="preserve">璞泰来(603659)股票行情走势技术分析_未来预测_买卖操作建议_英为财情Investing.com — https://cn.investing.com/equities/shanghai-putailai-new-energy-technical?utm_source=openai</w:t>
      </w:r>
    </w:p>
    <w:p>
      <w:pPr>
        <w:spacing w:after="200"/>
      </w:pPr>
      <w:r>
        <w:rPr>
          <w:i/>
          <w:iCs/>
          <w:color w:val="595959"/>
          <w:sz w:val="18"/>
          <w:szCs w:val="18"/>
        </w:rPr>
        <w:t xml:space="preserve">璞泰来(603659)_资金流向_证券之星 — https://stock.quote.stockstar.com/capital_603659.shtml?utm_source=openai</w:t>
      </w:r>
    </w:p>
    <w:p>
      <w:pPr>
        <w:spacing w:after="200"/>
      </w:pPr>
      <w:r>
        <w:rPr>
          <w:i/>
          <w:iCs/>
          <w:color w:val="595959"/>
          <w:sz w:val="18"/>
          <w:szCs w:val="18"/>
        </w:rPr>
        <w:t xml:space="preserve">璞泰来(603659) - 流通股股东 - 股票行情中心 - 搜狐证券 — https://q.stock.sohu.com/cn/603659/ltgd.shtml?utm_source=openai</w:t>
      </w:r>
    </w:p>
    <w:p>
      <w:pPr>
        <w:spacing w:after="200"/>
      </w:pPr>
      <w:r>
        <w:rPr>
          <w:i/>
          <w:iCs/>
          <w:color w:val="595959"/>
          <w:sz w:val="18"/>
          <w:szCs w:val="18"/>
        </w:rPr>
        <w:t xml:space="preserve">本报告由AI基于公开渠道信息自动检索、整理并生成，信息截至 截至2026年9月11日收盘；部分技术指标为2026年9月10日数据，股东结构数据截至2026年6月30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2026-09-13T15:48:03.062Z</dcterms:created>
  <dcterms:modified xsi:type="dcterms:W3CDTF">2026-09-13T15:48:03.062Z</dcterms:modified>
</cp:coreProperties>
</file>

<file path=docProps/custom.xml><?xml version="1.0" encoding="utf-8"?>
<Properties xmlns="http://schemas.openxmlformats.org/officeDocument/2006/custom-properties" xmlns:vt="http://schemas.openxmlformats.org/officeDocument/2006/docPropsVTypes"/>
</file>