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三祥新材股份有限公司 (603663)</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行业：锆系新材料与先进材料</w:t>
      </w:r>
    </w:p>
    <w:p>
      <w:pPr>
        <w:jc w:val="center"/>
      </w:pPr>
      <w:r>
        <w:rPr>
          <w:color w:val="595959"/>
          <w:sz w:val="22"/>
          <w:szCs w:val="22"/>
        </w:rPr>
        <w:t xml:space="preserve">报告日期：2026年9月13日</w:t>
      </w:r>
    </w:p>
    <w:p>
      <w:pPr>
        <w:jc w:val="center"/>
      </w:pPr>
      <w:r>
        <w:rPr>
          <w:color w:val="595959"/>
          <w:sz w:val="20"/>
          <w:szCs w:val="20"/>
        </w:rPr>
        <w:t xml:space="preserve">截至2026年9月11日收盘（15:00）；2026年9月12日为周六，A股休市</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三祥新材2026年上半年实现营业收入5.6334亿元，同比增长0.23%；归母净利润7700.99万元，同比增长71.48%，扣非归母净利润7398.83万元，同比增长65.33%，经营活动现金流净额9324.32万元，业绩预告基本兑现。公司呈现“收入基本稳定、利润明显改善”的特征，增长主要来自核级海绵锆、纳米锆等锆系业务放量，以及新兴市场开拓、客户结构优化和高端客户占比提升。</w:t>
      </w:r>
    </w:p>
    <w:p>
      <w:pPr>
        <w:spacing w:after="160" w:line="300"/>
      </w:pPr>
      <w:r>
        <w:rPr>
          <w:sz w:val="22"/>
          <w:szCs w:val="22"/>
        </w:rPr>
        <w:t xml:space="preserve">公司核心业务仍是锆系新材料，位于锆英砂深加工、中间材料制造及高端锆铪材料延伸环节。传统电熔氧化锆、氧氯化锆等产品受陶瓷、玻璃、钢铁、耐火材料等下游景气影响较大，2025年上半年曾出现销量、价格和利润下滑；核级海绵锆、纳米氧化锆、锆铪分离、先进陶瓷及固态电解质等方向则构成产品结构升级和盈利改善的主要潜在支撑。</w:t>
      </w:r>
    </w:p>
    <w:p>
      <w:pPr>
        <w:spacing w:after="160" w:line="300"/>
      </w:pPr>
      <w:r>
        <w:rPr>
          <w:sz w:val="22"/>
          <w:szCs w:val="22"/>
        </w:rPr>
        <w:t xml:space="preserve">公司上半年利润增速显著高于收入增速，但2026年全年及2027—2028年机构盈利预测存在较大不确定性，且仅有浙商证券、华鑫证券两家机构提供预测。按2026年9月11日收盘价41.54元计算，动态PE-TTM约164.76倍，显著高于按机构平均预测对应的2026—2028年约64.9倍、38.1倍和28.6倍，当前估值已反映较强的未来盈利增长预期。</w:t>
      </w:r>
    </w:p>
    <w:p>
      <w:pPr>
        <w:spacing w:after="160" w:line="300"/>
      </w:pPr>
      <w:r>
        <w:rPr>
          <w:sz w:val="22"/>
          <w:szCs w:val="22"/>
        </w:rPr>
        <w:t xml:space="preserve">技术面上，股价近期波动和成交活跃度较高，9月11日收盘价低于MA10、MA20及布林中轨，但仍高于MA50和MA200；MACD保持正值、RSI约51，显示中期结构尚未完全转弱，但短线动能有所减弱。公司控股股东及一致行动人合计持股超过54%，外部流通盘相对有限，近期异常波动和较高换手意味着短期价格可能受资金博弈影响较大。</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证券代码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603663</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三祥新材</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福建省宁德市寿宁县解放街292号</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主营方向</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工业新材料的研发、生产与销售</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重点报告期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2025年1月1日至2025年6月30日，主要采用2025年半年度报告披露信息</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核心产业链位置</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锆英砂深加工、中间材料制造及高端锆铪材料延伸环节</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锆系产品：电熔氧化锆、工业级海绵锆、核级海绵锆、氧氯化锆、纳米氧化锆、氧化锆陶瓷，以及锆铪分离、核级及电子级锆铪材料等推进方向。</w:t>
      </w:r>
    </w:p>
    <w:p>
      <w:pPr>
        <w:pStyle w:val="ListParagraph"/>
        <w:numPr>
          <w:ilvl w:val="0"/>
          <w:numId w:val="2"/>
        </w:numPr>
        <w:spacing w:after="80" w:line="280"/>
      </w:pPr>
      <w:r>
        <w:rPr>
          <w:sz w:val="22"/>
          <w:szCs w:val="22"/>
        </w:rPr>
        <w:t xml:space="preserve">镁系及轻量化材料：通过参股宁德汇智镁铝科技有限公司布局镁铝合金和大型一体化压铸，产品包括铝合金、镁合金电池PACK结构件，主要面向新能源汽车零部件及储能领域。</w:t>
      </w:r>
    </w:p>
    <w:p>
      <w:pPr>
        <w:pStyle w:val="ListParagraph"/>
        <w:numPr>
          <w:ilvl w:val="0"/>
          <w:numId w:val="2"/>
        </w:numPr>
        <w:spacing w:after="80" w:line="280"/>
      </w:pPr>
      <w:r>
        <w:rPr>
          <w:sz w:val="22"/>
          <w:szCs w:val="22"/>
        </w:rPr>
        <w:t xml:space="preserve">铸造改性材料：球化剂、孕育剂、包芯线等，应用于球墨铸铁、汽车零部件、风电、工程机械、轨道交通和铸管等领域。</w:t>
      </w:r>
    </w:p>
    <w:p>
      <w:pPr>
        <w:pStyle w:val="ListParagraph"/>
        <w:numPr>
          <w:ilvl w:val="0"/>
          <w:numId w:val="2"/>
        </w:numPr>
        <w:spacing w:after="80" w:line="280"/>
      </w:pPr>
      <w:r>
        <w:rPr>
          <w:sz w:val="22"/>
          <w:szCs w:val="22"/>
        </w:rPr>
        <w:t xml:space="preserve">先进陶瓷及其他新材料：特种陶瓷、先进陶瓷、氧化锆陶瓷、锆基固态电解质、低成本电池级电熔氧化锆等研发和产业化方向。</w:t>
      </w:r>
    </w:p>
    <w:p>
      <w:pPr>
        <w:pStyle w:val="ListParagraph"/>
        <w:numPr>
          <w:ilvl w:val="0"/>
          <w:numId w:val="2"/>
        </w:numPr>
        <w:spacing w:after="80" w:line="280"/>
      </w:pPr>
      <w:r>
        <w:rPr>
          <w:sz w:val="22"/>
          <w:szCs w:val="22"/>
        </w:rPr>
        <w:t xml:space="preserve">业务重要性：锆系仍是核心业务和产业链主线；镁系、先进陶瓷及铸造改性材料属于延伸业务。2025年半年度报告相关章节未披露三大板块完整收入占比，不能据此推算业务结构比例。</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三祥新材位于锆产业链中游深加工和高端锆铪材料延伸环节，不属于拥有锆矿资源定价权的上游资源企业，也不是主要面向终端消费者的品牌企业。产业链大致为“锆英砂→电熔氧化锆、氧氯化锆→工业级/核级海绵锆、纳米氧化锆、先进陶瓷→核电、化工、电子陶瓷、半导体、新能源、耐火耐磨材料等终端应用”。</w:t>
      </w:r>
    </w:p>
    <w:p>
      <w:pPr>
        <w:pStyle w:val="ListParagraph"/>
        <w:numPr>
          <w:ilvl w:val="0"/>
          <w:numId w:val="2"/>
        </w:numPr>
        <w:spacing w:after="80" w:line="280"/>
      </w:pPr>
      <w:r>
        <w:rPr>
          <w:sz w:val="22"/>
          <w:szCs w:val="22"/>
        </w:rPr>
        <w:t xml:space="preserve">锆系产品主要使用锆英砂；电熔氧化锆生产还使用焦炭，并产生可回收微硅粉副产品。电弧炉熔炼用电量约占电熔锆生产总用电量的80%至85%，电力是重要成本项。</w:t>
      </w:r>
    </w:p>
    <w:p>
      <w:pPr>
        <w:pStyle w:val="ListParagraph"/>
        <w:numPr>
          <w:ilvl w:val="0"/>
          <w:numId w:val="2"/>
        </w:numPr>
        <w:spacing w:after="80" w:line="280"/>
      </w:pPr>
      <w:r>
        <w:rPr>
          <w:sz w:val="22"/>
          <w:szCs w:val="22"/>
        </w:rPr>
        <w:t xml:space="preserve">我国锆资源相对有限，锆英砂主要依赖进口。公司披露的全球主要锆英砂供应商包括ILUKA、Rio Tinto和Tronox，三家合计占全球锆英砂产量超过50%；该信息来自公司披露，纪要未提供独立第三方交叉验证。</w:t>
      </w:r>
    </w:p>
    <w:p>
      <w:pPr>
        <w:pStyle w:val="ListParagraph"/>
        <w:numPr>
          <w:ilvl w:val="0"/>
          <w:numId w:val="2"/>
        </w:numPr>
        <w:spacing w:after="80" w:line="280"/>
      </w:pPr>
      <w:r>
        <w:rPr>
          <w:sz w:val="22"/>
          <w:szCs w:val="22"/>
        </w:rPr>
        <w:t xml:space="preserve">公司在锆英砂采购上整体属于价格接受者，而非拥有原料定价权的资源型企业，成本受国际锆英砂价格、汇率、海运和供应商集中度影响。</w:t>
      </w:r>
    </w:p>
    <w:p>
      <w:pPr>
        <w:pStyle w:val="ListParagraph"/>
        <w:numPr>
          <w:ilvl w:val="0"/>
          <w:numId w:val="2"/>
        </w:numPr>
        <w:spacing w:after="80" w:line="280"/>
      </w:pPr>
      <w:r>
        <w:rPr>
          <w:sz w:val="22"/>
          <w:szCs w:val="22"/>
        </w:rPr>
        <w:t xml:space="preserve">公司拥有福建三祥杨梅州电力有限公司及自有水电，披露称自有水电能够满足生产的大部分需求，有助于降低电熔氧化锆电力成本；但未披露自发电量占总用电量的具体比例，无法量化成本贡献。</w:t>
      </w:r>
    </w:p>
    <w:p>
      <w:pPr>
        <w:pStyle w:val="ListParagraph"/>
        <w:numPr>
          <w:ilvl w:val="0"/>
          <w:numId w:val="2"/>
        </w:numPr>
        <w:spacing w:after="80" w:line="280"/>
      </w:pPr>
      <w:r>
        <w:rPr>
          <w:sz w:val="22"/>
          <w:szCs w:val="22"/>
        </w:rPr>
        <w:t xml:space="preserve">公司通过长期供应关系、工艺改进、自有水电和产业链内部协同缓冲上游压力，但锆英砂仍主要依赖外部采购。</w:t>
      </w:r>
    </w:p>
    <w:p>
      <w:pPr>
        <w:pStyle w:val="ListParagraph"/>
        <w:numPr>
          <w:ilvl w:val="0"/>
          <w:numId w:val="2"/>
        </w:numPr>
        <w:spacing w:after="80" w:line="280"/>
      </w:pPr>
      <w:r>
        <w:rPr>
          <w:sz w:val="22"/>
          <w:szCs w:val="22"/>
        </w:rPr>
        <w:t xml:space="preserve">传统下游客户包括钢铁、玻璃、陶瓷、耐火材料、铸造、化工和机械等行业。2025年上半年，公司披露房地产调整以及钢铁、陶瓷、玻璃和耐火材料等传统行业景气度偏弱，电熔锆产品销量和价格均较上年有所下降。</w:t>
      </w:r>
    </w:p>
    <w:p>
      <w:pPr>
        <w:pStyle w:val="ListParagraph"/>
        <w:numPr>
          <w:ilvl w:val="0"/>
          <w:numId w:val="2"/>
        </w:numPr>
        <w:spacing w:after="80" w:line="280"/>
      </w:pPr>
      <w:r>
        <w:rPr>
          <w:sz w:val="22"/>
          <w:szCs w:val="22"/>
        </w:rPr>
        <w:t xml:space="preserve">高端及新兴下游包括核电、核装备、航空航天、电子陶瓷、新能源电池、半导体材料和先进陶瓷客户。这类客户对纯度、稳定性、质量认证、供货连续性和工艺配方要求更高，认证周期较长，但客户黏性和产品附加值通常高于传统通用材料。</w:t>
      </w:r>
    </w:p>
    <w:p>
      <w:pPr>
        <w:pStyle w:val="ListParagraph"/>
        <w:numPr>
          <w:ilvl w:val="0"/>
          <w:numId w:val="2"/>
        </w:numPr>
        <w:spacing w:after="80" w:line="280"/>
      </w:pPr>
      <w:r>
        <w:rPr>
          <w:sz w:val="22"/>
          <w:szCs w:val="22"/>
        </w:rPr>
        <w:t xml:space="preserve">海绵锆已向国内客户及海外主要核装备企业批量出货；具体客户名称和前五大客户合计占比在本次研究资料中未能充分核实，未提供可靠的客户集中度数据，具体以2025年年度报告为准。</w:t>
      </w:r>
    </w:p>
    <w:p>
      <w:pPr>
        <w:pStyle w:val="ListParagraph"/>
        <w:numPr>
          <w:ilvl w:val="0"/>
          <w:numId w:val="2"/>
        </w:numPr>
        <w:spacing w:after="80" w:line="280"/>
      </w:pPr>
      <w:r>
        <w:rPr>
          <w:sz w:val="22"/>
          <w:szCs w:val="22"/>
        </w:rPr>
        <w:t xml:space="preserve">行业议价关系表现为：公司既受到上游锆英砂供应商定价影响，也需要向传统工业客户传导原材料和能源成本。2025年上半年锆系产品售价下滑、利润下降，说明成本压力未能完全传导至下游。</w:t>
      </w:r>
    </w:p>
    <w:p>
      <w:pPr>
        <w:pStyle w:val="ListParagraph"/>
        <w:numPr>
          <w:ilvl w:val="0"/>
          <w:numId w:val="2"/>
        </w:numPr>
        <w:spacing w:after="80" w:line="280"/>
      </w:pPr>
      <w:r>
        <w:rPr>
          <w:sz w:val="22"/>
          <w:szCs w:val="22"/>
        </w:rPr>
        <w:t xml:space="preserve">公司通过海绵锆、高端摩擦材料、新能源材料等高端应用的增长进行结构性对冲；锆基氯化物固态电解质已向下游固态电池企业小批量供货，电池级电熔氧化锆已向下游客户批量供货，但纪要未给出其收入贡献规模。</w:t>
      </w:r>
    </w:p>
    <w:p>
      <w:pPr>
        <w:pStyle w:val="ListParagraph"/>
        <w:numPr>
          <w:ilvl w:val="0"/>
          <w:numId w:val="2"/>
        </w:numPr>
        <w:spacing w:after="80" w:line="280"/>
      </w:pPr>
      <w:r>
        <w:rPr>
          <w:sz w:val="22"/>
          <w:szCs w:val="22"/>
        </w:rPr>
        <w:t xml:space="preserve">截至2025年6月30日，应收账款为3.295亿元，较2024年末的2.004亿元增长64.48%；预付款项为1,336万元，较2024年末增长130.28%；合同负债为786万元，较2024年末增长74.77%。2025年上半年营业收入为5.621亿元，归母净利润为4,491万元。按期末数与半年数据静态比较，应收账款约占上半年收入的58.6%，约为归母净利润的7.3倍，显示公司对下游客户存在一定资金占用；该比较不能替代完整年度应收账款周转率。</w:t>
      </w:r>
    </w:p>
    <w:p>
      <w:pPr>
        <w:pStyle w:val="ListParagraph"/>
        <w:numPr>
          <w:ilvl w:val="0"/>
          <w:numId w:val="2"/>
        </w:numPr>
        <w:spacing w:after="80" w:line="280"/>
      </w:pPr>
      <w:r>
        <w:rPr>
          <w:sz w:val="22"/>
          <w:szCs w:val="22"/>
        </w:rPr>
        <w:t xml:space="preserve">上游方面，公司披露全球主要锆英砂供应商ILUKA、Rio Tinto和Tronox合计占全球锆英砂产量超过50%，但该数据未在本次研究中找到独立第三方统计交叉验证。下游方面，前五大客户合计占比及客户集中度数据在本次资料中未能可靠核实，具体以2025年年度报告为准。公司披露2025年上半年海绵锆相关市场占有率超过50%，该数据为公司自披露口径，未找到独立第三方交叉验证。</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未提供可直接核实的合并口径毛利率</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未提供可直接核实的合并口径净利率</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本次纪要未提取该年度统一口径数据，无法据此判断锆英砂、能源成本及下游需求对利润率的具体影响。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未提供可直接核实的合并口径毛利率</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未提供可直接核实的合并口径净利率</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本次纪要未提取该年度统一口径数据，无法据此判断产品结构和成本传导变化。</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未提供可直接核实的合并口径毛利率</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未提供可直接核实的合并口径净利率</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本次纪要未提取该年度统一口径数据，无法据此判断传统工业需求和高端产品放量对利润率的影响。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未提供可直接核实的合并口径毛利率</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未提供可直接核实的合并口径净利率</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本次纪要未提取该年度统一口径数据，无法据此判断原料价格、能源成本和产品组合变化。</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2025年上半年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未提供具体合并口径毛利率</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未提供具体合并口径净利率</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营业收入5.621亿元，同比下降7.35%；归母净利润4,491万元，同比下降28.45%。公司解释利润下降主要由于锆系产品售价较上年同期下降、产品毛利减少，反映上游锆英砂成本压力与传统下游需求偏弱导致成本传导不充分。</w:t>
            </w:r>
          </w:p>
        </w:tc>
      </w:tr>
    </w:tbl>
    <w:p>
      <w:pPr>
        <w:spacing w:before="200"/>
      </w:pPr>
    </w:p>
    <w:p>
      <w:pPr>
        <w:spacing w:after="160" w:line="300"/>
      </w:pPr>
      <w:r>
        <w:rPr>
          <w:sz w:val="22"/>
          <w:szCs w:val="22"/>
        </w:rPr>
        <w:t xml:space="preserve">公司处于“中游规模制造＋高端材料升级”位置：电熔氧化锆、氧氯化锆和工业级海绵锆属于中游深加工，受锆英砂和电力成本以及传统下游景气影响；核级海绵锆、纳米氧化锆、锆铪分离、先进陶瓷和固态电解质等方向有望提升附加值。后续利润改善主要取决于锆英砂和电力成本的下降或对冲、锆系产品价格恢复、高附加值产品放量，以及自产水电、内部原料供应和工艺改进带来的单位成本下降。</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5.6334亿元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同比增长0.23%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归母净利润7700.99万元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同比增长71.48%</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2026年第一季度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2.6374亿元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同比增长14.26%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归母净利润3688.91万元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同比增长173.08%</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11.6554亿元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同比增长10.59%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归母净利润1.1755亿元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同比增长55.15%</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数据未披露</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数据未披露</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归母净利润7576.49万元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数据未披露</w:t>
            </w:r>
          </w:p>
        </w:tc>
      </w:tr>
    </w:tbl>
    <w:p>
      <w:pPr>
        <w:spacing w:after="200"/>
      </w:pPr>
      <w:r>
        <w:rPr>
          <w:i/>
          <w:iCs/>
          <w:color w:val="595959"/>
          <w:sz w:val="18"/>
          <w:szCs w:val="18"/>
        </w:rPr>
        <w:t xml:space="preserve">2026年上半年扣非归母净利润为7398.83万元，同比增长65.33%；经营活动产生的现金流量净额为9324.32万元；基本每股收益为0.18元，同比增长63.64%；加权平均净资产收益率为5.46%。期末归母净资产为14.4727亿元，较2025年末增长5.78%；期末总资产为23.2270亿元，较2025年末增长14.21%。2025年度扣非归母净利润为1.1553亿元，同比增长58.67%。</w:t>
      </w:r>
    </w:p>
    <w:p>
      <w:pPr>
        <w:spacing w:after="160" w:line="300"/>
      </w:pPr>
      <w:r>
        <w:rPr>
          <w:sz w:val="22"/>
          <w:szCs w:val="22"/>
        </w:rPr>
        <w:t xml:space="preserve">2026年上半年呈现收入基本稳定、利润率明显改善的特征。营业收入同比仅增长0.23%，但营业总成本同比下降，利润总额同比增长84.69%，归母净利润同比增长71.48%。二季度收入增速较一季度放缓，但利润仍保持较快增长。利润改善可能主要来自产品结构、产品价格或毛利率改善，具体产品维度仍需结合公司分部披露进一步确认。根据已披露数据计算，2026年上半年末最近12个月归母净利润约为1.4965亿元，该数值为计算值而非公司直接披露指标。</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截至2026年9月11日，同花顺盈利预测页面显示近6个月内共有2家机构提供预测，分别为浙商证券和华鑫证券，机构数量较少，不能视为覆盖广泛的市场一致预期。2026—2028年平均预测营业收入分别为16.33亿元、21.90亿元和26.05亿元；平均预测归母净利润分别为3.83亿元、6.48亿元和8.60亿元。两家机构对2027—2028年利润预测差异较大，预测不确定性较高。</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平均预测16.33亿元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平均预测归母净利润3.83亿元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较2025年实际归母净利润约增长225.4%</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平均预测0.64元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平均预测21.90亿元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平均预测归母净利润6.48亿元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较2026年平均预测归母净利润约增长69.2%</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平均预测1.09元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平均预测26.05亿元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平均预测归母净利润8.60亿元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较2027年平均预测归母净利润约增长32.7%</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平均预测1.45元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浙商证券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机构盈利预测页面显示，2026—2028年归母净利润预测分别为4.00亿元、7.95亿元和10.29亿元，EPS分别为0.67元、1.34元和1.73元。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华鑫证券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2026年7月2日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2026—2028年归母净利润预测分别为3.65亿元、5.01亿元和6.91亿元，EPS分别为0.61元、0.84元和1.16元；报告页面未显示明确目标价。</w:t>
            </w:r>
          </w:p>
        </w:tc>
      </w:tr>
    </w:tbl>
    <w:p>
      <w:pPr>
        <w:spacing w:before="200"/>
      </w:pPr>
    </w:p>
    <w:p>
      <w:pPr>
        <w:spacing w:after="160" w:line="300"/>
      </w:pPr>
      <w:r>
        <w:rPr>
          <w:sz w:val="22"/>
          <w:szCs w:val="22"/>
        </w:rPr>
        <w:t xml:space="preserve">截至2026年9月11日收盘，公司股价约41.54元，总市值约246.57亿元，流通市值约246.40亿元。按公开财报和股价计算，TTM市盈率约164.9倍，计算依据为股价41.54元除以最近12个月每股收益约0.252元；市净率约17.0倍，计算依据为总市值约246.57亿元除以2026年6月末归母净资产约14.47亿元。按机构平均盈利预测计算，2026—2028年预测PE分别约为64.9倍、38.1倍和28.6倍。若以机构汇总目标价48元计算，较41.54元的潜在上涨空间约15.6%。48元为机构目标价汇总口径，公开页面未完整披露各机构独立目标价及估值假设，不能等同于正式一致目标价。当前TTM估值明显高于按未来盈利预测计算的估值，表明市场已提前计入较强的盈利增长预期；若锆铪产品价格、锆铪分离项目投产进度、半导体材料客户认证或订单放量不及预期，估值存在较高回撤风险。上述估值未考虑未来增发、股权激励摊薄或其他股本变化。</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2026年半年度业绩预增</w:t>
      </w:r>
    </w:p>
    <w:p>
      <w:pPr>
        <w:spacing w:after="160" w:line="300"/>
      </w:pPr>
      <w:r>
        <w:rPr>
          <w:sz w:val="22"/>
          <w:szCs w:val="22"/>
        </w:rPr>
        <w:t xml:space="preserve">2026年7月15日，三祥新材披露2026年半年度业绩预增公告。公司预计2026年上半年归属于上市公司股东的净利润约6900万元至8000万元，同比增长53.65%至78.14%；预计扣除非经常性损益后的净利润约6720万元至7800万元，同比增长50.16%至74.30%。业绩增长主要来自核级海绵锆、纳米锆等锆系业务放量，以及新兴市场开拓、客户结构优化和高端客户占比提升。上述数据为财务部门初步测算，未经注册会计师审计。</w:t>
      </w:r>
    </w:p>
    <w:p>
      <w:pPr>
        <w:pStyle w:val="Heading2"/>
        <w:spacing w:after="120" w:before="240"/>
      </w:pPr>
      <w:r>
        <w:rPr>
          <w:b/>
          <w:bCs/>
          <w:color w:val="2E74B5"/>
          <w:sz w:val="24"/>
          <w:szCs w:val="24"/>
        </w:rPr>
        <w:t xml:space="preserve">4.2 2026年半年度报告披露，业绩预告基本兑现</w:t>
      </w:r>
    </w:p>
    <w:p>
      <w:pPr>
        <w:spacing w:after="160" w:line="300"/>
      </w:pPr>
      <w:r>
        <w:rPr>
          <w:sz w:val="22"/>
          <w:szCs w:val="22"/>
        </w:rPr>
        <w:t xml:space="preserve">2026年8月22日，公司披露2026年半年度报告。上半年实现营业收入5.6334亿元，同比增长0.23%；归属于上市公司股东的净利润7700.99万元，同比增长71.48%；归属于上市公司股东的扣除非经常性损益的净利润7398.83万元，同比增长65.33%；经营活动产生的现金流量净额9324.32万元，上年同期为448.35万元；基本每股收益0.18元，同比增长63.64%。正式披露数据处于此前业绩预告区间内，业绩预告基本兑现。</w:t>
      </w:r>
    </w:p>
    <w:p>
      <w:pPr>
        <w:pStyle w:val="Heading2"/>
        <w:spacing w:after="120" w:before="240"/>
      </w:pPr>
      <w:r>
        <w:rPr>
          <w:b/>
          <w:bCs/>
          <w:color w:val="2E74B5"/>
          <w:sz w:val="24"/>
          <w:szCs w:val="24"/>
        </w:rPr>
        <w:t xml:space="preserve">4.3 控股股东部分股份解除质押</w:t>
      </w:r>
    </w:p>
    <w:p>
      <w:pPr>
        <w:spacing w:after="160" w:line="300"/>
      </w:pPr>
      <w:r>
        <w:rPr>
          <w:sz w:val="22"/>
          <w:szCs w:val="22"/>
        </w:rPr>
        <w:t xml:space="preserve">2026年7月28日，公司披露控股股东部分股份解除质押公告。宁德市汇阜投资有限公司解除质押813.40万股，占其持有公司股份的8.02%，占公司总股本的1.37%，解除质押时间为2026年7月24日。解除后，汇阜投资持有公司股份1.0145亿股，持股比例约17.09%，剩余被质押股份数量为0。汇阜投资及其一致行动人合计持股约3.2536亿股，占公司总股本约54.81%，相关一致行动人所持股份亦不存在质押。公司称暂时没有将解除质押股份用于后续质押的计划。</w:t>
      </w:r>
    </w:p>
    <w:p>
      <w:pPr>
        <w:pStyle w:val="Heading2"/>
        <w:spacing w:after="120" w:before="240"/>
      </w:pPr>
      <w:r>
        <w:rPr>
          <w:b/>
          <w:bCs/>
          <w:color w:val="2E74B5"/>
          <w:sz w:val="24"/>
          <w:szCs w:val="24"/>
        </w:rPr>
        <w:t xml:space="preserve">4.4 股票交易异常波动及风险提示</w:t>
      </w:r>
    </w:p>
    <w:p>
      <w:pPr>
        <w:spacing w:after="160" w:line="300"/>
      </w:pPr>
      <w:r>
        <w:rPr>
          <w:sz w:val="22"/>
          <w:szCs w:val="22"/>
        </w:rPr>
        <w:t xml:space="preserve">2026年8月7日，公司披露股票交易异常波动公告。公司股票于2026年8月4日至8月6日连续三个交易日收盘价格涨幅偏离值累计超过20%，达到股票交易异常波动标准。经公司自查并书面征询控股股东、实际控制人，截至公告披露日不存在应披露而未披露的重大信息；董事、高级管理人员、控股股东、实际控制人及其一致行动人在异常波动期间不存在买卖公司股票的情形。公司提示控股股东及一致行动人合计持股比例约54.91%，外部流通盘相对较小，存在二级市场炒作风险。</w:t>
      </w:r>
    </w:p>
    <w:p>
      <w:pPr>
        <w:pStyle w:val="Heading2"/>
        <w:spacing w:after="120" w:before="240"/>
      </w:pPr>
      <w:r>
        <w:rPr>
          <w:b/>
          <w:bCs/>
          <w:color w:val="2E74B5"/>
          <w:sz w:val="24"/>
          <w:szCs w:val="24"/>
        </w:rPr>
        <w:t xml:space="preserve">4.5 限制性股票回购注销</w:t>
      </w:r>
    </w:p>
    <w:p>
      <w:pPr>
        <w:spacing w:after="160" w:line="300"/>
      </w:pPr>
      <w:r>
        <w:rPr>
          <w:sz w:val="22"/>
          <w:szCs w:val="22"/>
        </w:rPr>
        <w:t xml:space="preserve">2026年6月26日，公司披露股权激励限制性股票回购注销实施公告。由于2025年股票期权与限制性股票激励计划首次授予部分第一个解除限售期的公司层面业绩未完全达标，且部分激励对象个人绩效考核未达到全部解除限售条件，公司回购注销相关限制性股票合计5.2224万股，回购股份数量与注销股份数量均为5.2224万股，注销日期为2026年6月30日。该事项属于股权激励考核未完全达标后的常规注销，不属于面向二级市场的股份回购计划。</w:t>
      </w:r>
    </w:p>
    <w:p>
      <w:pPr>
        <w:pStyle w:val="Heading2"/>
        <w:spacing w:after="120" w:before="240"/>
      </w:pPr>
      <w:r>
        <w:rPr>
          <w:b/>
          <w:bCs/>
          <w:color w:val="2E74B5"/>
          <w:sz w:val="24"/>
          <w:szCs w:val="24"/>
        </w:rPr>
        <w:t xml:space="preserve">4.6 股票期权注销及股权激励参数调整</w:t>
      </w:r>
    </w:p>
    <w:p>
      <w:pPr>
        <w:spacing w:after="160" w:line="300"/>
      </w:pPr>
      <w:r>
        <w:rPr>
          <w:sz w:val="22"/>
          <w:szCs w:val="22"/>
        </w:rPr>
        <w:t xml:space="preserve">2026年5月7日，公司完成注销首次授予部分不得行权的股票期权22.4864万份，原因包括激励对象离职、退休、公司层面业绩考核及个人绩效考核未完全达标等。该注销不会减少公司股本。受2025年度权益分派及部分股票期权行权影响，公司于2026年8月22日披露调整股权激励计划相关事项公告：首次及预留授予股票期权数量由135.90万份调整为190.26万份，股票期权行权价格由19.96元/份调整为约14.19元/份。</w:t>
      </w:r>
    </w:p>
    <w:p>
      <w:pPr>
        <w:pStyle w:val="Heading2"/>
        <w:spacing w:after="120" w:before="240"/>
      </w:pPr>
      <w:r>
        <w:rPr>
          <w:b/>
          <w:bCs/>
          <w:color w:val="2E74B5"/>
          <w:sz w:val="24"/>
          <w:szCs w:val="24"/>
        </w:rPr>
        <w:t xml:space="preserve">4.7 权益分派导致注册资本及总股本调整</w:t>
      </w:r>
    </w:p>
    <w:p>
      <w:pPr>
        <w:spacing w:after="160" w:line="300"/>
      </w:pPr>
      <w:r>
        <w:rPr>
          <w:sz w:val="22"/>
          <w:szCs w:val="22"/>
        </w:rPr>
        <w:t xml:space="preserve">公司2025年度权益分派方案为每10股派发现金红利1元，并以资本公积每10股转增4股，股权登记日为2026年7月16日，除权除息日为2026年7月17日。由于权益分派及部分股票期权行权，公司注册资本及总股本由约4.2325亿股增加至5.9357亿股。相关股权激励参数同步调整，公司表示本次调整不会对财务状况和经营成果产生实质性影响。</w:t>
      </w:r>
    </w:p>
    <w:p>
      <w:pPr>
        <w:pStyle w:val="Heading2"/>
        <w:spacing w:after="120" w:before="240"/>
      </w:pPr>
      <w:r>
        <w:rPr>
          <w:b/>
          <w:bCs/>
          <w:color w:val="2E74B5"/>
          <w:sz w:val="24"/>
          <w:szCs w:val="24"/>
        </w:rPr>
        <w:t xml:space="preserve">4.8 2026年第一次临时股东会安排</w:t>
      </w:r>
    </w:p>
    <w:p>
      <w:pPr>
        <w:spacing w:after="160" w:line="300"/>
      </w:pPr>
      <w:r>
        <w:rPr>
          <w:sz w:val="22"/>
          <w:szCs w:val="22"/>
        </w:rPr>
        <w:t xml:space="preserve">公司计划于2026年9月16日召开2026年第一次临时股东会，审议《关于增加注册资本修订〈公司章程〉的议案》。拟将注册资本及股份总数由423,247,526元、423,247,526股调整为593,570,127元、593,570,127股，主要原因是2025年度资本公积转增股本及股权激励行权。截至2026年9月12日，临时股东会尚未召开，上述事项仍待股东会审议。</w:t>
      </w:r>
    </w:p>
    <w:p>
      <w:pPr>
        <w:pStyle w:val="Heading2"/>
        <w:spacing w:after="120" w:before="240"/>
      </w:pPr>
      <w:r>
        <w:rPr>
          <w:b/>
          <w:bCs/>
          <w:color w:val="2E74B5"/>
          <w:sz w:val="24"/>
          <w:szCs w:val="24"/>
        </w:rPr>
        <w:t xml:space="preserve">4.9 部分募集资金专户注销</w:t>
      </w:r>
    </w:p>
    <w:p>
      <w:pPr>
        <w:spacing w:after="160" w:line="300"/>
      </w:pPr>
      <w:r>
        <w:rPr>
          <w:sz w:val="22"/>
          <w:szCs w:val="22"/>
        </w:rPr>
        <w:t xml:space="preserve">2026年9月5日，公司披露《关于注销部分募集资金专户的公告》。公司2021年向特定对象发行股票募集资金总额约2.20亿元，募集资金净额约2.1608亿元。本次注销中国工商银行宁德寿宁支行、中国建设银行寿宁支行及中国农业银行宁德寿宁支行募集资金账户；此前中国银行宁德寿宁支行账户已注销。辽宁华祥新材料有限公司在兴业银行福州城北支行的募集资金账户仍在使用。被注销账户对应的募集资金已按规定用途使用完毕，利息结余已转入未注销募集资金专户。该事项属于募集资金使用完成后的账户清理，不代表新的融资、并购或资产处置。</w:t>
      </w:r>
    </w:p>
    <w:p>
      <w:pPr>
        <w:pStyle w:val="Heading2"/>
        <w:spacing w:after="120" w:before="240"/>
      </w:pPr>
      <w:r>
        <w:rPr>
          <w:b/>
          <w:bCs/>
          <w:color w:val="2E74B5"/>
          <w:sz w:val="24"/>
          <w:szCs w:val="24"/>
        </w:rPr>
        <w:t xml:space="preserve">4.10 2026年半年度业绩说明会安排</w:t>
      </w:r>
    </w:p>
    <w:p>
      <w:pPr>
        <w:spacing w:after="160" w:line="300"/>
      </w:pPr>
      <w:r>
        <w:rPr>
          <w:sz w:val="22"/>
          <w:szCs w:val="22"/>
        </w:rPr>
        <w:t xml:space="preserve">公司计划于2026年9月22日9:00至10:00通过上证路演中心召开2026年半年度业绩说明会，投资者问题预征集时间为2026年9月15日至9月21日16:00前。截至2026年9月12日，业绩说明会尚未召开，暂无会议问答内容可供引用。</w:t>
      </w:r>
    </w:p>
    <w:p>
      <w:pPr>
        <w:pStyle w:val="Heading2"/>
        <w:spacing w:after="120" w:before="240"/>
      </w:pPr>
      <w:r>
        <w:rPr>
          <w:b/>
          <w:bCs/>
          <w:color w:val="2E74B5"/>
          <w:sz w:val="24"/>
          <w:szCs w:val="24"/>
        </w:rPr>
        <w:t xml:space="preserve">4.11 近期未发现新的回购、并购及重大资产重组事项</w:t>
      </w:r>
    </w:p>
    <w:p>
      <w:pPr>
        <w:spacing w:after="160" w:line="300"/>
      </w:pPr>
      <w:r>
        <w:rPr>
          <w:sz w:val="22"/>
          <w:szCs w:val="22"/>
        </w:rPr>
        <w:t xml:space="preserve">截至2026年9月12日，未检索到公司在2026年7月至9月披露新的上市公司股份回购方案或回购进展公告，也未检索到重大资产重组、并购交易、发行股份购买资产或对外重大投资公告。2026年6月实施的5.2224万股限制性股票回购注销属于股权激励考核后的注销，不属于以维护股价或股东权益为目的的上市公司股份回购。</w:t>
      </w:r>
    </w:p>
    <w:p>
      <w:pPr>
        <w:pStyle w:val="Heading2"/>
        <w:spacing w:after="120" w:before="240"/>
      </w:pPr>
      <w:r>
        <w:rPr>
          <w:b/>
          <w:bCs/>
          <w:color w:val="2E74B5"/>
          <w:sz w:val="24"/>
          <w:szCs w:val="24"/>
        </w:rPr>
        <w:t xml:space="preserve">4.12 近期未发现控股股东增减持及监管处罚信息</w:t>
      </w:r>
    </w:p>
    <w:p>
      <w:pPr>
        <w:spacing w:after="160" w:line="300"/>
      </w:pPr>
      <w:r>
        <w:rPr>
          <w:sz w:val="22"/>
          <w:szCs w:val="22"/>
        </w:rPr>
        <w:t xml:space="preserve">截至2026年9月12日，近期检索到的控股股东相关事项主要为2026年7月解除质押813.40万股，并非增持或减持；2026年8月股票交易异常波动公告确认控股股东及实际控制人在异常波动期间不存在买卖公司股票的情形。在上交所监管问询页面及公司近期公告列表中，未检索到针对三祥新材的最新监管问询函、纪律处分或行政处罚信息。上述结论仅代表截至2026年9月12日的公开检索结果，不排除公告检索延迟或尚未披露事项。</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41.54元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涨跌额/涨跌幅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-1.64元/-3.80%</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开盘价/最高价/最低价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42.51元/42.85元/40.59元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日内振幅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5.23%</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269,152手，约2,692万股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112,066.3万元，约11.21亿元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4.54%</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总股本/流通股本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约5.94亿股/约5.93亿股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约246.6亿~246.8亿元，按收盘价及总股本估算约246.75亿元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动态市盈率（PE-TTM）</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164.76倍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市净率（PB）</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约15.92倍；另一行情页面显示17.55倍，存在统计口径差异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近52周价格区间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17.34~75.61元；高低点具体发生日期未可靠披露</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近期成交活跃度</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最近10个交易日成交额约4.98亿~18.07亿元，换手率约2.12%~7.22%</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 41.38元、MA10 42.39元、MA20 41.61元、MA50 41.20元、MA100 41.80元、MA200 40.27元；EMA5 41.77元、EMA10 41.79元、EMA20 41.65元、EMA50 41.46元、EMA100 41.14元、EMA200 42.73元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低于MA10和MA20，但高于MA50和MA200，短线处于回落调整，中期均线结构尚未完全转空。技术页面均线信号为买入7项、卖出5项，综合评级为“买入”，但技术指标总评为“中性”。根据公开收盘价独立计算的近5日、近10日、近20日简单均线约为41.17元、41.10元、41.91元，与页面数据存在差异，可能与数据更新时间、复权处理、样本窗口或缓存有关。</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约0.14，指标信号为买入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MACD仍为正值，快线相对慢线尚未完全转弱；但数值不高，结合股价低于短期EMA5、EMA10及近期高波动走势，更接近中期尚未破坏、短线动能减弱。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51.076，评级为中性</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RSI处于50附近，未进入明显超买或超卖区，多空力量相对均衡，短线仍存在反复震荡可能。</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中轨约41.91元，上轨约45.60元，下轨约38.22元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布林带依据2026年8月17日至9月11日20个交易日收盘价自行测算，当前收盘价略低于中轨，处于中轨与下轨之间。该测算值可能因复权、样本窗口或计算方式不同而存在小幅差异。</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短期价格波动</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2026年8月中旬以来多次出现单日5%~10%的涨跌；9月9日上涨7.21%，9月10日上涨2.98%，9月11日下跌3.80%</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上涨和下跌均伴随较高换手，短线资金博弈较强，走势并非低波动趋势上行。</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资金流向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同花顺口径截至9月4日，9月1日至9月4日主力净流出约1.80亿元；另一页面截至9月11日显示近5日大单及超大单净额约+2.13亿元、近10日约+1.07亿元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不同来源及模型口径存在明显差异。前者为第三方资金划分模型，后者基于公开日线、成交额、换手率、大小单及筹码等因素推断，均不等同于逐笔账户级真实主力资金，近期资金持续性尚未获得多个独立来源一致确认。</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股东集中度与筹码背景</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截至2026年6月30日，前十大流通股东持股约2.86亿股，占流通股本约67.53%；前三大股东合计持股53.02%；股东总数39,451户，较2026年3月31日增加15,723户，环比增加66.26%</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集中度较高，前十大股东中既有控股股东及关联投资平台，也有香港中央结算有限公司和公募基金；同花顺披露同期有236家机构持仓，持仓量约占流通股本65.63%。但股东数据截至6月30日，较9月11日行情存在明显时滞，不能直接视为实时筹码结构；股东户数增加也显示市场参与者数量上升、户均持股下降，筹码可能出现扩散。</w:t>
            </w:r>
          </w:p>
        </w:tc>
      </w:tr>
    </w:tbl>
    <w:p>
      <w:pPr>
        <w:spacing w:before="200"/>
      </w:pPr>
    </w:p>
    <w:p>
      <w:pPr>
        <w:spacing w:after="160" w:line="300"/>
      </w:pPr>
      <w:r>
        <w:rPr>
          <w:sz w:val="22"/>
          <w:szCs w:val="22"/>
        </w:rPr>
        <w:t xml:space="preserve">截至2026年9月11日，三祥新材收盘41.54元，较前一交易日下跌3.80%，日内冲高至42.85元后回落。股价略低于MA20及布林中轨，但仍高于MA50和MA200；MACD保持正值，RSI处于中性区间，显示中期技术结构尚未完全转弱，但短线动能有所减弱。近期股价波动和成交活跃度较高，9月9日至9月10日连续上涨后于9月11日冲高回落，43元上方存在一定兑现压力。资金流向数据因来源及模型口径不同而出现分化，股东集中度数据则存在截至2026年6月30日的时滞，因此短期走势仍需结合关键价格位置、成交量及后续资金数据观察。</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风险提示：以下内容仅为基于截至2026年9月11日收盘数据、公开技术指标和成交数据的主观情景推演，不构成投资建议，也不代表对未来实际价格的确定性预测。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43.5~46.1元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10日收盘价43.18元附近的短线密集成交区、相关技术页面枢轴位及前期高波动成交区域。若有效突破该区间上沿并伴随放量，研究纪要认为可能打开向48元附近修复的空间；若反复受阻，仍可能回到41~42元区域震荡。</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40.9~41.8元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对应MA5、MA20、MA50附近及近期成交密集区。若在该区间缩量企稳，短线仍可能维持震荡修复；若放量跌破40.9元，短线弱势可能加剧。</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38.2~39.8元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对应9月4日低点37.95元、布林下轨约38.22元、9月7日至9月8日成交密集区及模型化筹码支撑区下沿。若该区间失守，下一观察区域可能下移至36.5~37.5元。</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权重相对较高，约六成左右；为基于当前技术与资金状态的主观启发式判断，不是统计概率）：观察区间约40.9~43.5元。触发条件为股价守住40.9~41.8元支撑区，但无法有效突破43.5元压力区；成交额维持约6亿~12亿元的近期常态范围内，RSI继续在45~55附近震荡。当前收盘价略低于布林中轨、RSI中性、MACD为正且均线信号分化，支持高位回落后的箱体整理情景。</w:t>
      </w:r>
    </w:p>
    <w:p>
      <w:pPr>
        <w:pStyle w:val="ListParagraph"/>
        <w:numPr>
          <w:ilvl w:val="0"/>
          <w:numId w:val="2"/>
        </w:numPr>
        <w:spacing w:after="80" w:line="280"/>
      </w:pPr>
      <w:r>
        <w:rPr>
          <w:sz w:val="22"/>
          <w:szCs w:val="22"/>
        </w:rPr>
        <w:t xml:space="preserve">偏弱下行（主观权重中等，约三成左右；为主观启发式权重，不是统计概率）：观察区间约38.2~40.9元。触发条件为股价有效跌破40.9元，同时单日成交额放大至12亿~15亿元以上并收盘接近日内低位；若进一步跌破39.1~39.5元，则可能测试38.2元附近布林下轨和9月4日低点区域。若下跌伴随放量，需观察支撑承接是否不足；若跌破38.2元，短期技术结构可能明显恶化。</w:t>
      </w:r>
    </w:p>
    <w:p>
      <w:pPr>
        <w:pStyle w:val="ListParagraph"/>
        <w:numPr>
          <w:ilvl w:val="0"/>
          <w:numId w:val="2"/>
        </w:numPr>
        <w:spacing w:after="80" w:line="280"/>
      </w:pPr>
      <w:r>
        <w:rPr>
          <w:sz w:val="22"/>
          <w:szCs w:val="22"/>
        </w:rPr>
        <w:t xml:space="preserve">反弹走强（主观权重偏低，约一成左右；为主观启发式权重，不是统计概率）：观察区间约43.5~46.1元。触发条件为股价重新站稳43.5元，单日成交额持续放大至15亿元左右或更高，且收盘保持在当日高位附近；若进一步突破45.6~46.1元，则可能向48元附近寻求修复。9月9日和9月10日曾连续放量上涨，但9月11日冲高回落，因此反弹走强需要量价同步确认。</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为4.54%，成交额约11.21亿元；最近10个交易日换手率约2.12%~7.22%，成交额约4.98亿~18.07亿元，整体交易活跃，短线流动性尚可，但较高换手和较大振幅意味着筹码交换较快，价格容易受到短线资金进出影响。股东结构数据截至2026年6月30日：前十大流通股东持股约67.53%，前三大股东合计53.02%，其中既有控股股东及关联投资平台，也有香港中央结算有限公司和公募基金；同花顺披露同期有236家机构持仓，持仓量约占流通股本65.63%。不过，股东户数较2026年3月31日增加66.26%，且该数据距离9月11日行情存在时滞，实际筹码结构可能已经变化。资金流向方面，同花顺截至9月4日的模型口径显示9月1日至9月4日连续净流出，另一页面截至9月11日的模型化结果则显示近5日、近10日大单及超大单净额为正，因口径差异不能简单拼接或视为真实账户级主力资金。</w:t>
      </w:r>
    </w:p>
    <w:p>
      <w:pPr>
        <w:spacing w:after="160" w:line="300"/>
      </w:pPr>
      <w:r>
        <w:rPr>
          <w:sz w:val="22"/>
          <w:szCs w:val="22"/>
        </w:rPr>
        <w:t xml:space="preserve">若股价重新站上43.5元，同时单日成交额连续放大至15亿元左右或以上、换手率达到约6%或更高，可作为反弹得到量能确认的观察信号；若成交额放大但股价仍收于40.9元下方，则更可能反映抛压释放，而非有效资金介入。</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观察思路，非操作指令：关注41.8~42.0元附近能否重新站稳，该区域接近MA20及布林中轨。</w:t>
      </w:r>
    </w:p>
    <w:p>
      <w:pPr>
        <w:pStyle w:val="ListParagraph"/>
        <w:numPr>
          <w:ilvl w:val="0"/>
          <w:numId w:val="2"/>
        </w:numPr>
        <w:spacing w:after="80" w:line="280"/>
      </w:pPr>
      <w:r>
        <w:rPr>
          <w:sz w:val="22"/>
          <w:szCs w:val="22"/>
        </w:rPr>
        <w:t xml:space="preserve">观察思路，非操作指令：关注43.5~46.1元压力区能否放量突破，尤其观察成交额是否达到15亿元左右或以上。</w:t>
      </w:r>
    </w:p>
    <w:p>
      <w:pPr>
        <w:pStyle w:val="ListParagraph"/>
        <w:numPr>
          <w:ilvl w:val="0"/>
          <w:numId w:val="2"/>
        </w:numPr>
        <w:spacing w:after="80" w:line="280"/>
      </w:pPr>
      <w:r>
        <w:rPr>
          <w:sz w:val="22"/>
          <w:szCs w:val="22"/>
        </w:rPr>
        <w:t xml:space="preserve">观察思路，非操作指令：关注40.9元是否失守；若失守，再观察39.1~39.8元及38.2元附近的承接情况。</w:t>
      </w:r>
    </w:p>
    <w:p>
      <w:pPr>
        <w:pStyle w:val="ListParagraph"/>
        <w:numPr>
          <w:ilvl w:val="0"/>
          <w:numId w:val="2"/>
        </w:numPr>
        <w:spacing w:after="80" w:line="280"/>
      </w:pPr>
      <w:r>
        <w:rPr>
          <w:sz w:val="22"/>
          <w:szCs w:val="22"/>
        </w:rPr>
        <w:t xml:space="preserve">观察思路，非操作指令：关注9月11日之后主力资金数据能否与近期上涨形成连续且同口径的净流入确认。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三祥新材所属行业为新材料行业，业务覆盖新型无机非金属材料、特种金属功能材料、稀有金属及核工业基础材料、化工新材料和部分新兴材料方向。其核心产品横跨电熔氧化锆、氧氯化锆、工业级及核级海绵锆、纳米氧化锆、先进陶瓷和铸造改性材料。</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原料端集中度较高：锆英砂资源主要分布在澳大利亚、南非等地区，国际大型矿企对原料供应和价格具有较强影响力，中国锆英砂自给能力有限。</w:t>
      </w:r>
    </w:p>
    <w:p>
      <w:pPr>
        <w:pStyle w:val="ListParagraph"/>
        <w:numPr>
          <w:ilvl w:val="0"/>
          <w:numId w:val="2"/>
        </w:numPr>
        <w:spacing w:after="80" w:line="280"/>
      </w:pPr>
      <w:r>
        <w:rPr>
          <w:sz w:val="22"/>
          <w:szCs w:val="22"/>
        </w:rPr>
        <w:t xml:space="preserve">中游产品分化明显：电熔氧化锆、氧氯化锆等传统材料竞争相对充分，价格受陶瓷、玻璃、耐火材料等行业景气影响较大；核级海绵锆、高纯氧化锆、纳米氧化锆和锆铪分离更看重技术、认证和稳定供货。</w:t>
      </w:r>
    </w:p>
    <w:p>
      <w:pPr>
        <w:pStyle w:val="ListParagraph"/>
        <w:numPr>
          <w:ilvl w:val="0"/>
          <w:numId w:val="2"/>
        </w:numPr>
        <w:spacing w:after="80" w:line="280"/>
      </w:pPr>
      <w:r>
        <w:rPr>
          <w:sz w:val="22"/>
          <w:szCs w:val="22"/>
        </w:rPr>
        <w:t xml:space="preserve">下游需求呈现“传统承压、新兴增长”：2025年上半年传统陶瓷、耐火材料、钢铁和玻璃等领域需求偏弱，核电、核装备、先进陶瓷、新能源电池、电子材料和半导体等方向提供结构性增量。</w:t>
      </w:r>
    </w:p>
    <w:p>
      <w:pPr>
        <w:pStyle w:val="ListParagraph"/>
        <w:numPr>
          <w:ilvl w:val="0"/>
          <w:numId w:val="2"/>
        </w:numPr>
        <w:spacing w:after="80" w:line="280"/>
      </w:pPr>
      <w:r>
        <w:rPr>
          <w:sz w:val="22"/>
          <w:szCs w:val="22"/>
        </w:rPr>
        <w:t xml:space="preserve">行业竞争由单纯产能竞争转向“原料保障＋工艺技术＋客户认证＋产业链协同”的综合竞争。三祥新材的优势包括电熔氧化锆、工业级海绵锆规模、自有水电、上下游协同和锆系产品延链布局；短板是锆英砂仍主要依赖外部采购，传统产品价格和需求易受周期波动影响。</w:t>
      </w:r>
    </w:p>
    <w:p>
      <w:pPr>
        <w:pStyle w:val="ListParagraph"/>
        <w:numPr>
          <w:ilvl w:val="0"/>
          <w:numId w:val="2"/>
        </w:numPr>
        <w:spacing w:after="80" w:line="280"/>
      </w:pPr>
      <w:r>
        <w:rPr>
          <w:sz w:val="22"/>
          <w:szCs w:val="22"/>
        </w:rPr>
        <w:t xml:space="preserve">产能及项目数据存在口径限制：历史公开资料披露电熔氧化锆产能约2.6万吨，但未在可直接检索的2025年半年度报告中找到同口径最新数据；1,300吨核级锆项目及锆铪分离项目包含建设、改造和产业化推进内容，不能全部等同于已达产产能。</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广东东方锆业科技股份有限公司（002167）</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锆系列制品及相关锆产业链布局</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覆盖锆英砂、氧化锆、复合氧化锆、结构陶瓷、核级锆材料等环节，产业链覆盖相对较广；与三祥新材在电熔氧化锆、海绵锆、纳米氧化锆和先进陶瓷等领域存在直接或部分重叠竞争。</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凯盛科技股份有限公司（600552）</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纳米氧化锆及功能粉体、应用材料</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产品覆盖纳米氧化锆、稳定氧化锆、活性氧化锆、超细硅酸锆等，应用于生物医疗、电子消费品、结构陶瓷、耐磨材料、燃料电池和新能源等领域；整体还包括显示材料业务，并非完全同质化竞争。</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宝钛股份（600456）及相关锆材料业务</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钛及钛合金材料为主，相关体系涉及海绵锆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历史募集说明书将宝钛华神钛业列为海绵锆业务竞争对手，并披露其海绵锆产能约500吨；宝钛体系在大型有色金属材料、航空航天及高端金属材料客户方面具有优势。</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国核宝钛锆业及中核晶环锆业</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核级海绵锆及核工业锆铪材料</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涉及核级海绵锆、工业级海绵锆、氧化铪、海绵铪、核级氧化锆及无水四氯化物等，与三祥新材在核级材料领域存在竞争；通常不属于A股上市公司，且业务重点并不完全重合。</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长裕集团（603407）</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氧氯化锆及相关锆系材料</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与三祥新材在氧氯化锆、氧化锆粉体和锆系化工材料方面存在一定可比性，但产品口径、有效产能和市场份额统计方式并不完全一致，不宜简单判断绝对龙头。</w:t>
            </w:r>
          </w:p>
        </w:tc>
      </w:tr>
    </w:tbl>
    <w:p>
      <w:pPr>
        <w:spacing w:before="200"/>
      </w:pPr>
    </w:p>
    <w:p>
      <w:pPr>
        <w:spacing w:after="160" w:line="300"/>
      </w:pPr>
      <w:r>
        <w:rPr>
          <w:sz w:val="22"/>
          <w:szCs w:val="22"/>
        </w:rPr>
        <w:t xml:space="preserve">三祥新材相较于东方锆业，更突出电熔氧化锆、工业级海绵锆及锆系上下游协同；相较于凯盛科技，业务更聚焦锆系材料和海绵锆，凯盛科技在功能粉体及电子信息、新能源材料应用方面更具代表性；相较于宝钛体系及国核宝钛锆业、中核晶环锆业，三祥新材在工业级海绵锆和电熔氧化锆规模方面更具代表性，但核级材料竞争仍需关注；与长裕集团的比较应按氧氯化锆、氧化锆粉体等具体产品拆分，不能将不同锆系产品合并比较。</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锆英砂主要依赖外部采购，公司属于价格接受者，全球主要供应商集中度较高；若锆英砂价格、汇率或海运成本上升，而公司无法向传统下游客户充分传导成本，可能压缩电熔氧化锆、氧氯化锆等产品利润。</w:t>
      </w:r>
    </w:p>
    <w:p>
      <w:pPr>
        <w:pStyle w:val="ListParagraph"/>
        <w:numPr>
          <w:ilvl w:val="0"/>
          <w:numId w:val="2"/>
        </w:numPr>
        <w:spacing w:after="80" w:line="280"/>
      </w:pPr>
      <w:r>
        <w:rPr>
          <w:sz w:val="22"/>
          <w:szCs w:val="22"/>
        </w:rPr>
        <w:t xml:space="preserve">传统下游需求仍存在压力。公司披露2025年上半年房地产调整以及钢铁、陶瓷、玻璃和耐火材料等行业景气偏弱，导致电熔锆产品销量和价格下降；若相关需求恢复不及预期，核心传统产品可能继续面临价格和销量压力。</w:t>
      </w:r>
    </w:p>
    <w:p>
      <w:pPr>
        <w:pStyle w:val="ListParagraph"/>
        <w:numPr>
          <w:ilvl w:val="0"/>
          <w:numId w:val="2"/>
        </w:numPr>
        <w:spacing w:after="80" w:line="280"/>
      </w:pPr>
      <w:r>
        <w:rPr>
          <w:sz w:val="22"/>
          <w:szCs w:val="22"/>
        </w:rPr>
        <w:t xml:space="preserve">高端业务放量和项目产业化存在不确定性。核级海绵锆、锆铪分离、先进陶瓷、半导体材料及固态电解质等业务涉及客户认证、工艺稳定性和持续供货能力，部分项目处于建设、改造或产业化推进阶段，不能将规划或推进内容等同于已达产产能。</w:t>
      </w:r>
    </w:p>
    <w:p>
      <w:pPr>
        <w:pStyle w:val="ListParagraph"/>
        <w:numPr>
          <w:ilvl w:val="0"/>
          <w:numId w:val="2"/>
        </w:numPr>
        <w:spacing w:after="80" w:line="280"/>
      </w:pPr>
      <w:r>
        <w:rPr>
          <w:sz w:val="22"/>
          <w:szCs w:val="22"/>
        </w:rPr>
        <w:t xml:space="preserve">公司应收账款和预付款项增长较快。截至2025年6月30日，应收账款为3.295亿元，较2024年末增长64.48%；预付款项增长130.28%。按期末应收账款与2025年上半年收入静态比较，应收账款约占半年收入58.6%，若回款节奏放缓，可能加大营运资金占用和信用减值压力。</w:t>
      </w:r>
    </w:p>
    <w:p>
      <w:pPr>
        <w:pStyle w:val="ListParagraph"/>
        <w:numPr>
          <w:ilvl w:val="0"/>
          <w:numId w:val="2"/>
        </w:numPr>
        <w:spacing w:after="80" w:line="280"/>
      </w:pPr>
      <w:r>
        <w:rPr>
          <w:sz w:val="22"/>
          <w:szCs w:val="22"/>
        </w:rPr>
        <w:t xml:space="preserve">当前估值对未来盈利增长依赖较高。2026年9月11日收盘价41.54元对应动态PE-TTM约164.76倍，而机构平均预测对应2026年PE约64.9倍；若核级海绵锆、纳米锆等产品放量、锆铪产品价格或相关项目进度不及预期，估值可能面临较大回撤压力。</w:t>
      </w:r>
    </w:p>
    <w:p>
      <w:pPr>
        <w:pStyle w:val="ListParagraph"/>
        <w:numPr>
          <w:ilvl w:val="0"/>
          <w:numId w:val="2"/>
        </w:numPr>
        <w:spacing w:after="80" w:line="280"/>
      </w:pPr>
      <w:r>
        <w:rPr>
          <w:sz w:val="22"/>
          <w:szCs w:val="22"/>
        </w:rPr>
        <w:t xml:space="preserve">机构盈利预测覆盖有限且分歧明显。截至2026年9月11日仅有浙商证券和华鑫证券两家机构提供2026—2028年预测，尤其对2027—2028年净利润预测差异较大，预测结果存在较高不确定性。</w:t>
      </w:r>
    </w:p>
    <w:p>
      <w:pPr>
        <w:pStyle w:val="ListParagraph"/>
        <w:numPr>
          <w:ilvl w:val="0"/>
          <w:numId w:val="2"/>
        </w:numPr>
        <w:spacing w:after="80" w:line="280"/>
      </w:pPr>
      <w:r>
        <w:rPr>
          <w:sz w:val="22"/>
          <w:szCs w:val="22"/>
        </w:rPr>
        <w:t xml:space="preserve">公司控股股东及一致行动人合计持股约54.8%至54.9%，外部流通盘相对有限；近期曾出现连续三个交易日累计涨幅偏离值超过20%的异常波动，公司已提示二级市场炒作风险。较高换手率和较大日内振幅可能放大短期价格波动。</w:t>
      </w:r>
    </w:p>
    <w:p>
      <w:pPr>
        <w:pStyle w:val="ListParagraph"/>
        <w:numPr>
          <w:ilvl w:val="0"/>
          <w:numId w:val="2"/>
        </w:numPr>
        <w:spacing w:after="80" w:line="280"/>
      </w:pPr>
      <w:r>
        <w:rPr>
          <w:sz w:val="22"/>
          <w:szCs w:val="22"/>
        </w:rPr>
        <w:t xml:space="preserve">技术与资金信号存在分化。股价低于MA10、MA20及布林中轨，近期连续上涨后出现冲高回落；不同来源的资金流向数据分别显示阶段性净流出和近5日、近10日大单净流入，口径并不一致，短期趋势持续性仍需进一步确认。</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当前的增长逻辑主要体现在锆系产品结构升级和高端应用拓展：核级海绵锆、纳米锆等产品已对2026年上半年业绩形成支撑，海绵锆已向国内客户及海外主要核装备企业批量出货，锆基氯化物固态电解质已小批量供货，电池级电熔氧化锆已实现批量供货。若高附加值产品持续放量、客户认证及订单转化顺利，同时自有水电、工艺改进和产业链协同继续发挥作用，公司盈利能力有望进一步改善。</w:t>
      </w:r>
    </w:p>
    <w:p>
      <w:pPr>
        <w:spacing w:after="160" w:line="300"/>
      </w:pPr>
      <w:r>
        <w:rPr>
          <w:sz w:val="22"/>
          <w:szCs w:val="22"/>
        </w:rPr>
        <w:t xml:space="preserve">后续业绩能否持续改善，取决于锆英砂采购成本、电力成本、锆系产品价格、传统下游需求恢复，以及核级材料、锆铪分离、半导体材料和先进陶瓷等项目的产业化进度。2026年上半年利润增长已较为明显，但收入增速仍接近于零，说明利润改善尚需进一步验证其持续性和来源；同时，机构预测差异较大，不宜将预测值直接视为确定性业绩。</w:t>
      </w:r>
    </w:p>
    <w:p>
      <w:pPr>
        <w:spacing w:after="160" w:line="300"/>
      </w:pPr>
      <w:r>
        <w:rPr>
          <w:sz w:val="22"/>
          <w:szCs w:val="22"/>
        </w:rPr>
        <w:t xml:space="preserve">从估值与交易特征看，公司当前股价对应较高的TTM估值，近期又处于高波动、高成交状态，市场对未来高端锆系业务放量已有较高预期。后续应重点观察产品结构改善是否转化为持续的收入和现金流增长，以及股价能否在较大波动中获得基本面支撑；上述判断仅基于已提供数据，不构成买卖建议。</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https://stockmc.xueqiu.com/202508/603663_20250822_BMYV.pdf — https://stockmc.xueqiu.com/202508/603663_20250822_BMYV.pdf</w:t>
      </w:r>
    </w:p>
    <w:p>
      <w:pPr>
        <w:spacing w:after="200"/>
      </w:pPr>
      <w:r>
        <w:rPr>
          <w:i/>
          <w:iCs/>
          <w:color w:val="595959"/>
          <w:sz w:val="18"/>
          <w:szCs w:val="18"/>
        </w:rPr>
        <w:t xml:space="preserve">三祥新材股份有限公司 — https://static.cninfo.com.cn/finalpage/2016-07-18/1202478591.PDF</w:t>
      </w:r>
    </w:p>
    <w:p>
      <w:pPr>
        <w:spacing w:after="200"/>
      </w:pPr>
      <w:r>
        <w:rPr>
          <w:i/>
          <w:iCs/>
          <w:color w:val="595959"/>
          <w:sz w:val="18"/>
          <w:szCs w:val="18"/>
        </w:rPr>
        <w:t xml:space="preserve">https://static.cninfo.com.cn/finalpage/2020-03-10/1207355980.PDF — https://static.cninfo.com.cn/finalpage/2020-03-10/1207355980.PDF</w:t>
      </w:r>
    </w:p>
    <w:p>
      <w:pPr>
        <w:spacing w:after="200"/>
      </w:pPr>
      <w:r>
        <w:rPr>
          <w:i/>
          <w:iCs/>
          <w:color w:val="595959"/>
          <w:sz w:val="18"/>
          <w:szCs w:val="18"/>
        </w:rPr>
        <w:t xml:space="preserve">凯盛科技股份有限公司2025年年度报告 — https://static.cninfo.com.cn/finalpage/2026-03-31/1225061795.PDF?utm_source=openai</w:t>
      </w:r>
    </w:p>
    <w:p>
      <w:pPr>
        <w:spacing w:after="200"/>
      </w:pPr>
      <w:r>
        <w:rPr>
          <w:i/>
          <w:iCs/>
          <w:color w:val="595959"/>
          <w:sz w:val="18"/>
          <w:szCs w:val="18"/>
        </w:rPr>
        <w:t xml:space="preserve">三祥新材: 三祥新材股份有限公司2026年半年度报告_股票频道_证券之星 — https://stock.stockstar.com/notice/SN2026082100030949.shtml?utm_source=openai</w:t>
      </w:r>
    </w:p>
    <w:p>
      <w:pPr>
        <w:spacing w:after="200"/>
      </w:pPr>
      <w:r>
        <w:rPr>
          <w:i/>
          <w:iCs/>
          <w:color w:val="595959"/>
          <w:sz w:val="18"/>
          <w:szCs w:val="18"/>
        </w:rPr>
        <w:t xml:space="preserve">三祥新材股份有限公司2026 年第一季度报告 — https://file.finance.sina.com.cn/211.154.219.97%3A9494/MRGG/CNSESH_STOCK/2026/2026-4/2026-04-25/12184496.PDF?utm_source=openai</w:t>
      </w:r>
    </w:p>
    <w:p>
      <w:pPr>
        <w:spacing w:after="200"/>
      </w:pPr>
      <w:r>
        <w:rPr>
          <w:i/>
          <w:iCs/>
          <w:color w:val="595959"/>
          <w:sz w:val="18"/>
          <w:szCs w:val="18"/>
        </w:rPr>
        <w:t xml:space="preserve">三祥新材(603663)A股财报-Publicly traded company — https://market.weidn.com/cn/company/a/603663/?utm_source=openai</w:t>
      </w:r>
    </w:p>
    <w:p>
      <w:pPr>
        <w:spacing w:after="200"/>
      </w:pPr>
      <w:r>
        <w:rPr>
          <w:i/>
          <w:iCs/>
          <w:color w:val="595959"/>
          <w:sz w:val="18"/>
          <w:szCs w:val="18"/>
        </w:rPr>
        <w:t xml:space="preserve">三祥新材(603663) 盈利预测_F10_同花顺金融服务网 — https://basic.10jqka.com.cn/603663/worth.html?utm_source=openai</w:t>
      </w:r>
    </w:p>
    <w:p>
      <w:pPr>
        <w:spacing w:after="200"/>
      </w:pPr>
      <w:r>
        <w:rPr>
          <w:i/>
          <w:iCs/>
          <w:color w:val="595959"/>
          <w:sz w:val="18"/>
          <w:szCs w:val="18"/>
        </w:rPr>
        <w:t xml:space="preserve">三祥新材(603663)个股资金流向查询_个股行情_同花顺财经 — https://stockpage.10jqka.com.cn/603663/index/?utm_source=openai</w:t>
      </w:r>
    </w:p>
    <w:p>
      <w:pPr>
        <w:spacing w:after="200"/>
      </w:pPr>
      <w:r>
        <w:rPr>
          <w:i/>
          <w:iCs/>
          <w:color w:val="595959"/>
          <w:sz w:val="18"/>
          <w:szCs w:val="18"/>
        </w:rPr>
        <w:t xml:space="preserve">浙商证券-三祥新材(603663)点评报告：上市以来最亮眼一季报，铪金属价格上涨核心受益标的-260425 — https://www.nxny.com/report/view_6274455.html?utm_source=openai</w:t>
      </w:r>
    </w:p>
    <w:p>
      <w:pPr>
        <w:spacing w:after="200"/>
      </w:pPr>
      <w:r>
        <w:rPr>
          <w:i/>
          <w:iCs/>
          <w:color w:val="595959"/>
          <w:sz w:val="18"/>
          <w:szCs w:val="18"/>
        </w:rPr>
        <w:t xml:space="preserve">603663 | Sanxiang Advanced Materials Co Ltd股市 - Investing.com — https://hk.investing.com/equities/sanxiang-advanced-materials-co-ltd?utm_source=openai</w:t>
      </w:r>
    </w:p>
    <w:p>
      <w:pPr>
        <w:spacing w:after="200"/>
      </w:pPr>
      <w:r>
        <w:rPr>
          <w:i/>
          <w:iCs/>
          <w:color w:val="595959"/>
          <w:sz w:val="18"/>
          <w:szCs w:val="18"/>
        </w:rPr>
        <w:t xml:space="preserve">「三祥新材」603663.SH - 三祥新材股份有限公司 - 上海证券交易所主板 - A股 - 准上市 — https://www.zhunshangshi.com/stock/603663/?utm_source=openai</w:t>
      </w:r>
    </w:p>
    <w:p>
      <w:pPr>
        <w:spacing w:after="200"/>
      </w:pPr>
      <w:r>
        <w:rPr>
          <w:i/>
          <w:iCs/>
          <w:color w:val="595959"/>
          <w:sz w:val="18"/>
          <w:szCs w:val="18"/>
        </w:rPr>
        <w:t xml:space="preserve">三祥新材(603663)_公司公告_三祥新材：2026年半年度业绩预增公告新浪财经_新浪网 — https://vip.stock.finance.sina.com.cn/corp/view/vCB_AllBulletinDetail.php?id=12444643&amp;stockid=603663</w:t>
      </w:r>
    </w:p>
    <w:p>
      <w:pPr>
        <w:spacing w:after="200"/>
      </w:pPr>
      <w:r>
        <w:rPr>
          <w:i/>
          <w:iCs/>
          <w:color w:val="595959"/>
          <w:sz w:val="18"/>
          <w:szCs w:val="18"/>
        </w:rPr>
        <w:t xml:space="preserve">三祥新材(603663)_公司公告_三祥新材：2026年半年度报告新浪财经_新浪网 — https://money.finance.sina.com.cn/corp/view/vCB_AllBulletinDetail.php?id=12514600&amp;stockid=603663</w:t>
      </w:r>
    </w:p>
    <w:p>
      <w:pPr>
        <w:spacing w:after="200"/>
      </w:pPr>
      <w:r>
        <w:rPr>
          <w:i/>
          <w:iCs/>
          <w:color w:val="595959"/>
          <w:sz w:val="18"/>
          <w:szCs w:val="18"/>
        </w:rPr>
        <w:t xml:space="preserve">三祥新材(603663)_公司公告_三祥新材：关于控股股东部分股份解除质押的公告新浪财经_新浪网 — https://vip.stock.finance.sina.com.cn/corp/view/vCB_AllBulletinDetail.php?id=12463337&amp;stockid=603663</w:t>
      </w:r>
    </w:p>
    <w:p>
      <w:pPr>
        <w:spacing w:after="200"/>
      </w:pPr>
      <w:r>
        <w:rPr>
          <w:i/>
          <w:iCs/>
          <w:color w:val="595959"/>
          <w:sz w:val="18"/>
          <w:szCs w:val="18"/>
        </w:rPr>
        <w:t xml:space="preserve">三祥新材(603663)_公司公告_三祥新材：股票交易异常波动公告新浪财经_新浪网 — https://money.finance.sina.com.cn/corp/view/vCB_AllBulletinDetail.php?id=12481085&amp;stockid=603663&amp;utm_source=openai</w:t>
      </w:r>
    </w:p>
    <w:p>
      <w:pPr>
        <w:spacing w:after="200"/>
      </w:pPr>
      <w:r>
        <w:rPr>
          <w:i/>
          <w:iCs/>
          <w:color w:val="595959"/>
          <w:sz w:val="18"/>
          <w:szCs w:val="18"/>
        </w:rPr>
        <w:t xml:space="preserve">三祥新材(603663)_公司公告_三祥新材：股权激励限制性股票回购注销实施公告新浪财经_新浪网 — https://money.finance.sina.com.cn/corp/view/vCB_AllBulletinDetail.php?id=12411212&amp;stockid=603663&amp;utm_source=openai</w:t>
      </w:r>
    </w:p>
    <w:p>
      <w:pPr>
        <w:spacing w:after="200"/>
      </w:pPr>
      <w:r>
        <w:rPr>
          <w:i/>
          <w:iCs/>
          <w:color w:val="595959"/>
          <w:sz w:val="18"/>
          <w:szCs w:val="18"/>
        </w:rPr>
        <w:t xml:space="preserve">证券代码：603663　　证券简称：三祥新材　　公告编号：2026-016 — https://static.cninfo.com.cn/finalpage/2026-05-07/1225278282.PDF?utm_source=openai</w:t>
      </w:r>
    </w:p>
    <w:p>
      <w:pPr>
        <w:spacing w:after="200"/>
      </w:pPr>
      <w:r>
        <w:rPr>
          <w:i/>
          <w:iCs/>
          <w:color w:val="595959"/>
          <w:sz w:val="18"/>
          <w:szCs w:val="18"/>
        </w:rPr>
        <w:t xml:space="preserve">三祥新材(603663)_公司公告_三祥新材：关于调整2025年股票期权与限制性股票激励计划相关事项的公告新浪财经_新浪网 — https://vip.stock.finance.sina.com.cn/corp/view/vCB_AllBulletinDetail.php?id=12514589&amp;stockid=603663</w:t>
      </w:r>
    </w:p>
    <w:p>
      <w:pPr>
        <w:spacing w:after="200"/>
      </w:pPr>
      <w:r>
        <w:rPr>
          <w:i/>
          <w:iCs/>
          <w:color w:val="595959"/>
          <w:sz w:val="18"/>
          <w:szCs w:val="18"/>
        </w:rPr>
        <w:t xml:space="preserve">三祥新材(603663)_公司公告_三祥新材：2026年第一次临时股东会会议材料新浪财经_新浪网 — https://vip.stock.finance.sina.com.cn/corp/view/vCB_AllBulletinDetail.php?id=12584206&amp;stockid=603663</w:t>
      </w:r>
    </w:p>
    <w:p>
      <w:pPr>
        <w:spacing w:after="200"/>
      </w:pPr>
      <w:r>
        <w:rPr>
          <w:i/>
          <w:iCs/>
          <w:color w:val="595959"/>
          <w:sz w:val="18"/>
          <w:szCs w:val="18"/>
        </w:rPr>
        <w:t xml:space="preserve">三祥新材(603663)_公司公告_三祥新材：关于注销部分募集资金专户的公告新浪财经_新浪网 — https://vip.stock.finance.sina.com.cn/corp/view/vCB_AllBulletinDetail.php?id=12584209&amp;stockid=603663</w:t>
      </w:r>
    </w:p>
    <w:p>
      <w:pPr>
        <w:spacing w:after="200"/>
      </w:pPr>
      <w:r>
        <w:rPr>
          <w:i/>
          <w:iCs/>
          <w:color w:val="595959"/>
          <w:sz w:val="18"/>
          <w:szCs w:val="18"/>
        </w:rPr>
        <w:t xml:space="preserve">三祥新材(603663)_公司公告_三祥新材：关于召开2026年半年度业绩说明会的公告新浪财经_新浪网 — https://vip.stock.finance.sina.com.cn/corp/view/vCB_AllBulletinDetail.php?id=12514597&amp;stockid=603663</w:t>
      </w:r>
    </w:p>
    <w:p>
      <w:pPr>
        <w:spacing w:after="200"/>
      </w:pPr>
      <w:r>
        <w:rPr>
          <w:i/>
          <w:iCs/>
          <w:color w:val="595959"/>
          <w:sz w:val="18"/>
          <w:szCs w:val="18"/>
        </w:rPr>
        <w:t xml:space="preserve">监管问询 | 上海证券交易所 — https://www.sse.com.cn/disclosure/credibility/supervision/inquiries/?utm_source=openai</w:t>
      </w:r>
    </w:p>
    <w:p>
      <w:pPr>
        <w:spacing w:after="200"/>
      </w:pPr>
      <w:r>
        <w:rPr>
          <w:i/>
          <w:iCs/>
          <w:color w:val="595959"/>
          <w:sz w:val="18"/>
          <w:szCs w:val="18"/>
        </w:rPr>
        <w:t xml:space="preserve">三祥新材(603663)_股票行情，行情首页_中财网 — https://quotewh.cfi.cn/quote_603663.html</w:t>
      </w:r>
    </w:p>
    <w:p>
      <w:pPr>
        <w:spacing w:after="200"/>
      </w:pPr>
      <w:r>
        <w:rPr>
          <w:i/>
          <w:iCs/>
          <w:color w:val="595959"/>
          <w:sz w:val="18"/>
          <w:szCs w:val="18"/>
        </w:rPr>
        <w:t xml:space="preserve">三祥新材 (603663) - 历史交易数据 | 打板客网 — https://dabanke.com/hangqing-603663.html</w:t>
      </w:r>
    </w:p>
    <w:p>
      <w:pPr>
        <w:spacing w:after="200"/>
      </w:pPr>
      <w:r>
        <w:rPr>
          <w:i/>
          <w:iCs/>
          <w:color w:val="595959"/>
          <w:sz w:val="18"/>
          <w:szCs w:val="18"/>
        </w:rPr>
        <w:t xml:space="preserve">三祥新材(603663)股票行情走势技术分析_未来预测_买卖操作建议_英为财情Investing.com — https://cn.investing.com/equities/sanxiang-advanced-materials-co-ltd-technical?utm_source=openai</w:t>
      </w:r>
    </w:p>
    <w:p>
      <w:pPr>
        <w:spacing w:after="200"/>
      </w:pPr>
      <w:r>
        <w:rPr>
          <w:i/>
          <w:iCs/>
          <w:color w:val="595959"/>
          <w:sz w:val="18"/>
          <w:szCs w:val="18"/>
        </w:rPr>
        <w:t xml:space="preserve">三祥新材(603663)资金流向_个股行情_同花顺财经 — https://f10.10jqka.com.cn/603663/funds/?utm_source=openai</w:t>
      </w:r>
    </w:p>
    <w:p>
      <w:pPr>
        <w:spacing w:after="200"/>
      </w:pPr>
      <w:r>
        <w:rPr>
          <w:i/>
          <w:iCs/>
          <w:color w:val="595959"/>
          <w:sz w:val="18"/>
          <w:szCs w:val="18"/>
        </w:rPr>
        <w:t xml:space="preserve">单股调研 — https://www.ashare-dashboard.com/stocks?ts_code=603663.SH&amp;utm_source=openai</w:t>
      </w:r>
    </w:p>
    <w:p>
      <w:pPr>
        <w:spacing w:after="200"/>
      </w:pPr>
      <w:r>
        <w:rPr>
          <w:i/>
          <w:iCs/>
          <w:color w:val="595959"/>
          <w:sz w:val="18"/>
          <w:szCs w:val="18"/>
        </w:rPr>
        <w:t xml:space="preserve">三祥新材(603663) 最新动态_F10_同花顺金融服务网 — https://basic.10jqka.com.cn/603663/?utm_source=openai</w:t>
      </w:r>
    </w:p>
    <w:p>
      <w:pPr>
        <w:spacing w:after="200"/>
      </w:pPr>
      <w:r>
        <w:rPr>
          <w:i/>
          <w:iCs/>
          <w:color w:val="595959"/>
          <w:sz w:val="18"/>
          <w:szCs w:val="18"/>
        </w:rPr>
        <w:t xml:space="preserve">本报告由AI基于公开渠道信息自动检索、整理并生成，信息截至 截至2026年9月11日收盘（15:00）；2026年9月12日为周六，A股休市，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2026-09-13T12:07:02.478Z</dcterms:created>
  <dcterms:modified xsi:type="dcterms:W3CDTF">2026-09-13T12:07:02.478Z</dcterms:modified>
</cp:coreProperties>
</file>

<file path=docProps/custom.xml><?xml version="1.0" encoding="utf-8"?>
<Properties xmlns="http://schemas.openxmlformats.org/officeDocument/2006/custom-properties" xmlns:vt="http://schemas.openxmlformats.org/officeDocument/2006/docPropsVTypes"/>
</file>