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江苏太平洋石英股份有限公司（石英股份） (603688)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行业：高纯石英材料与石英制品</w:t>
      </w:r>
    </w:p>
    <w:p>
      <w:pPr>
        <w:jc w:val="center"/>
      </w:pPr>
      <w:r>
        <w:rPr>
          <w:color w:val="595959"/>
          <w:sz w:val="22"/>
          <w:szCs w:val="22"/>
        </w:rPr>
        <w:t xml:space="preserve">报告日期：2026年9月13日</w:t>
      </w:r>
    </w:p>
    <w:p>
      <w:pPr>
        <w:jc w:val="center"/>
      </w:pPr>
      <w:r>
        <w:rPr>
          <w:color w:val="595959"/>
          <w:sz w:val="20"/>
          <w:szCs w:val="20"/>
        </w:rPr>
        <w:t xml:space="preserve">行情数据主要截至2026年9月11日收盘；MACD、RSI等部分技术指标采用2026年9月10日公开技术指标快照，股东结构数据截至2026年6月30日半年报，存在时滞。</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石英股份当前呈现“收入恢复但利润仍承压”的特征：2026年上半年营业收入5.46亿元，同比增长6.00%，归母净利润9137.53万元，同比下降14.47%，扣非归母净利润4955.53万元，同比下降19.14%；第二季度收入约2.89亿元、归母净利润约5461万元，利润环比有所改善，但成本费用增加及资产减值仍对盈利形成拖累。公司收入结构正由光伏石英砂向光纤、半导体等业务调整，2026年上半年石英管棒收入4.77亿元，同比增长约12.24%，而石英砂收入同比下降约28.20%。</w:t>
      </w:r>
    </w:p>
    <w:p>
      <w:pPr>
        <w:spacing w:after="160" w:line="300"/>
      </w:pPr>
      <w:r>
        <w:rPr>
          <w:sz w:val="22"/>
          <w:szCs w:val="22"/>
        </w:rPr>
        <w:t xml:space="preserve">公司长期逻辑在于“高纯石英砂—石英管棒及石英器件—下游应用”的一体化布局，以及提纯、熔融加工、精密加工和客户认证能力。2025年光纤半导体业务收入占主营业务收入53.61%，毛利率42.02%，但光伏业务收入同比下降40.46%、毛利率降至13.13%，综合毛利率由2024年的45.96%进一步降至2025年的34.61%，显示公司仍处于业务结构和盈利模式切换阶段。</w:t>
      </w:r>
    </w:p>
    <w:p>
      <w:pPr>
        <w:spacing w:after="160" w:line="300"/>
      </w:pPr>
      <w:r>
        <w:rPr>
          <w:sz w:val="22"/>
          <w:szCs w:val="22"/>
        </w:rPr>
        <w:t xml:space="preserve">半导体业务出现积极进展，公司披露采用自主砂制备的炉管系列高纯石英产品已通过一家国内DRAM IDM厂商认证，海内外客户认证仍在推进；但公司同时明确认证不等同于批量供货，客户名称、订单金额、供货时间及收入贡献均未披露。光纤方面，公司计划通过包头子公司推进光纤套管新产线建设，预计于2026年底完成，但投资预算、规划产能、订单及投产后的产能利用率尚不明确。</w:t>
      </w:r>
    </w:p>
    <w:p>
      <w:pPr>
        <w:spacing w:after="160" w:line="300"/>
      </w:pPr>
      <w:r>
        <w:rPr>
          <w:sz w:val="22"/>
          <w:szCs w:val="22"/>
        </w:rPr>
        <w:t xml:space="preserve">截至2026年9月11日，公司股价为46.88元，动态市盈率约184倍、扣非市盈率约386倍，静态估值明显偏高；技术上股价低于MA10和MA20，MACD处于负值区域，短线处于约44.5~48.0元震荡区间。当前估值对半导体、光纤业务后续认证放量和利润修复已有较高预期，机构预测与实际业绩之间仍存在较大的兑现差异风险。</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603688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石英股份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最新完整年度经营数据截至</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2025年年报披露日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2026年3月28日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主要产品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高纯石英砂、高纯石英管棒、石英板、石英锭、石英筒、石英坩埚及其他石英材料</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主要应用领域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半导体、光伏、光纤通信、光电及特种光源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业务模式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以直销为主，通过年度供货协议、招标采购及长期合作等方式向境内外客户供货</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100.80亿元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光纤半导体业务：2025年收入5.16亿元，占主营业务收入53.61%，同比增长3.24%，毛利率42.02%。</w:t>
      </w:r>
    </w:p>
    <w:p>
      <w:pPr>
        <w:pStyle w:val="ListParagraph"/>
        <w:numPr>
          <w:ilvl w:val="0"/>
          <w:numId w:val="2"/>
        </w:numPr>
        <w:spacing w:after="80" w:line="280"/>
      </w:pPr>
      <w:r>
        <w:rPr>
          <w:sz w:val="22"/>
          <w:szCs w:val="22"/>
        </w:rPr>
        <w:t xml:space="preserve">光伏业务：2025年收入2.27亿元，占主营业务收入23.58%，同比下降40.46%，毛利率13.13%。</w:t>
      </w:r>
    </w:p>
    <w:p>
      <w:pPr>
        <w:pStyle w:val="ListParagraph"/>
        <w:numPr>
          <w:ilvl w:val="0"/>
          <w:numId w:val="2"/>
        </w:numPr>
        <w:spacing w:after="80" w:line="280"/>
      </w:pPr>
      <w:r>
        <w:rPr>
          <w:sz w:val="22"/>
          <w:szCs w:val="22"/>
        </w:rPr>
        <w:t xml:space="preserve">光源业务：2025年收入2.20亿元，占主营业务收入22.81%，同比下降28.17%，毛利率33.84%。</w:t>
      </w:r>
    </w:p>
    <w:p>
      <w:pPr>
        <w:pStyle w:val="ListParagraph"/>
        <w:numPr>
          <w:ilvl w:val="0"/>
          <w:numId w:val="2"/>
        </w:numPr>
        <w:spacing w:after="80" w:line="280"/>
      </w:pPr>
      <w:r>
        <w:rPr>
          <w:sz w:val="22"/>
          <w:szCs w:val="22"/>
        </w:rPr>
        <w:t xml:space="preserve">按产品看，2025年石英管棒收入8.44亿元，占主营业务收入约87.64%，毛利率34.60%；石英砂收入1.14亿元，占比约11.86%，毛利率24.84%；石英坩埚收入482万元，占比约0.50%，毛利率15.53%。</w:t>
      </w:r>
    </w:p>
    <w:p>
      <w:pPr>
        <w:pStyle w:val="ListParagraph"/>
        <w:numPr>
          <w:ilvl w:val="0"/>
          <w:numId w:val="2"/>
        </w:numPr>
        <w:spacing w:after="80" w:line="280"/>
      </w:pPr>
      <w:r>
        <w:rPr>
          <w:sz w:val="22"/>
          <w:szCs w:val="22"/>
        </w:rPr>
        <w:t xml:space="preserve">石英管棒横跨光源、光伏、光纤和半导体多个应用领域，不能将石英管棒收入全部视为半导体业务收入。</w:t>
      </w:r>
    </w:p>
    <w:p>
      <w:pPr>
        <w:pStyle w:val="ListParagraph"/>
        <w:numPr>
          <w:ilvl w:val="0"/>
          <w:numId w:val="2"/>
        </w:numPr>
        <w:spacing w:after="80" w:line="280"/>
      </w:pPr>
      <w:r>
        <w:rPr>
          <w:sz w:val="22"/>
          <w:szCs w:val="22"/>
        </w:rPr>
        <w:t xml:space="preserve">公司形成“高纯石英砂—石英管棒/石英器件—下游应用”的一体化布局，并向半导体石英部件、光伏石英材料、光纤配套石英制品和特种光源材料延伸。</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石英股份处于高纯石英材料及石英制品产业链中游，同时向上游高纯石英砂提纯延伸，并向半导体、光伏、光纤和光源等下游石英制品及应用领域延伸。公司核心壁垒更接近高纯石英原料提纯、熔融加工、精密加工、客户认证和一体化供应能力，而非传统矿山企业的矿产储量优势。</w:t>
      </w:r>
    </w:p>
    <w:p>
      <w:pPr>
        <w:pStyle w:val="ListParagraph"/>
        <w:numPr>
          <w:ilvl w:val="0"/>
          <w:numId w:val="2"/>
        </w:numPr>
        <w:spacing w:after="80" w:line="280"/>
      </w:pPr>
      <w:r>
        <w:rPr>
          <w:sz w:val="22"/>
          <w:szCs w:val="22"/>
        </w:rPr>
        <w:t xml:space="preserve">主要采购天然石英矿石、合成石英相关原料，以及生产所需的燃料动力、辅助材料和设备。天然石英矿石需经过破碎、筛分、酸洗、提纯、熔炼及深加工等工艺。</w:t>
      </w:r>
    </w:p>
    <w:p>
      <w:pPr>
        <w:pStyle w:val="ListParagraph"/>
        <w:numPr>
          <w:ilvl w:val="0"/>
          <w:numId w:val="2"/>
        </w:numPr>
        <w:spacing w:after="80" w:line="280"/>
      </w:pPr>
      <w:r>
        <w:rPr>
          <w:sz w:val="22"/>
          <w:szCs w:val="22"/>
        </w:rPr>
        <w:t xml:space="preserve">2025年前五名供应商采购额2.82亿元，占年度采购总额56.96%；前五名供应商中无关联方采购。第二大供应商采购额5,247.08万元，占采购总额10.60%；第五大供应商采购额2,344.06万元，占比4.73%。</w:t>
      </w:r>
    </w:p>
    <w:p>
      <w:pPr>
        <w:pStyle w:val="ListParagraph"/>
        <w:numPr>
          <w:ilvl w:val="0"/>
          <w:numId w:val="2"/>
        </w:numPr>
        <w:spacing w:after="80" w:line="280"/>
      </w:pPr>
      <w:r>
        <w:rPr>
          <w:sz w:val="22"/>
          <w:szCs w:val="22"/>
        </w:rPr>
        <w:t xml:space="preserve">供应商集中度不低，但单一供应商占比未超过50%，暂未体现对单一供应商的极端依赖。供应商名称、具体矿源、矿石品位及长期采购价格机制披露不充分，无法确认公司具有显著的上游资源定价权。</w:t>
      </w:r>
    </w:p>
    <w:p>
      <w:pPr>
        <w:pStyle w:val="ListParagraph"/>
        <w:numPr>
          <w:ilvl w:val="0"/>
          <w:numId w:val="2"/>
        </w:numPr>
        <w:spacing w:after="80" w:line="280"/>
      </w:pPr>
      <w:r>
        <w:rPr>
          <w:sz w:val="22"/>
          <w:szCs w:val="22"/>
        </w:rPr>
        <w:t xml:space="preserve">公司未系统披露天然石英矿石的自有矿权、可采储量和矿源结构，不宜将其表述为拥有大量矿产资源储备的资源型公司。</w:t>
      </w:r>
    </w:p>
    <w:p>
      <w:pPr>
        <w:pStyle w:val="ListParagraph"/>
        <w:numPr>
          <w:ilvl w:val="0"/>
          <w:numId w:val="2"/>
        </w:numPr>
        <w:spacing w:after="80" w:line="280"/>
      </w:pPr>
      <w:r>
        <w:rPr>
          <w:sz w:val="22"/>
          <w:szCs w:val="22"/>
        </w:rPr>
        <w:t xml:space="preserve">2025年石英管棒成本中直接材料占68.16%，人工占6.45%，制造费用占13.75%，燃料动力占11.63%；石英砂成本中直接材料占82.58%，人工占2.59%，制造费用占10.84%，燃料动力占3.99%。</w:t>
      </w:r>
    </w:p>
    <w:p>
      <w:pPr>
        <w:pStyle w:val="ListParagraph"/>
        <w:numPr>
          <w:ilvl w:val="0"/>
          <w:numId w:val="2"/>
        </w:numPr>
        <w:spacing w:after="80" w:line="280"/>
      </w:pPr>
      <w:r>
        <w:rPr>
          <w:sz w:val="22"/>
          <w:szCs w:val="22"/>
        </w:rPr>
        <w:t xml:space="preserve">石英砂业务对原料成本及产品售价较为敏感；石英管棒和半导体石英制品除原料外，还受到良率、设备折旧、人工、洁净生产及客户认证成本影响。</w:t>
      </w:r>
    </w:p>
    <w:p>
      <w:pPr>
        <w:pStyle w:val="ListParagraph"/>
        <w:numPr>
          <w:ilvl w:val="0"/>
          <w:numId w:val="2"/>
        </w:numPr>
        <w:spacing w:after="80" w:line="280"/>
      </w:pPr>
      <w:r>
        <w:rPr>
          <w:sz w:val="22"/>
          <w:szCs w:val="22"/>
        </w:rPr>
        <w:t xml:space="preserve">公司2024年投资者问答披露高纯石英砂产能约17万吨/年，但该数据来自历史公开问答及项目建设口径，2025年年报未重新明确确认，不应直接视为2025年实际可销售产能或有效产能。</w:t>
      </w:r>
    </w:p>
    <w:p>
      <w:pPr>
        <w:pStyle w:val="ListParagraph"/>
        <w:numPr>
          <w:ilvl w:val="0"/>
          <w:numId w:val="2"/>
        </w:numPr>
        <w:spacing w:after="80" w:line="280"/>
      </w:pPr>
      <w:r>
        <w:rPr>
          <w:sz w:val="22"/>
          <w:szCs w:val="22"/>
        </w:rPr>
        <w:t xml:space="preserve">下游客户包括半导体设备商、晶圆制造企业、光伏电池及硅片企业、光纤光棒企业，以及光源和特种光源厂商。</w:t>
      </w:r>
    </w:p>
    <w:p>
      <w:pPr>
        <w:pStyle w:val="ListParagraph"/>
        <w:numPr>
          <w:ilvl w:val="0"/>
          <w:numId w:val="2"/>
        </w:numPr>
        <w:spacing w:after="80" w:line="280"/>
      </w:pPr>
      <w:r>
        <w:rPr>
          <w:sz w:val="22"/>
          <w:szCs w:val="22"/>
        </w:rPr>
        <w:t xml:space="preserve">2025年前五名客户销售额合计2.75亿元，占年度销售总额27.29%，无关联方销售；单一客户销售占比均未超过10%。该数据为2025年年报披露口径，客户名称部分匿名，无法进一步判断具体客户是否为大型晶圆厂、光伏龙头或设备商。</w:t>
      </w:r>
    </w:p>
    <w:p>
      <w:pPr>
        <w:pStyle w:val="ListParagraph"/>
        <w:numPr>
          <w:ilvl w:val="0"/>
          <w:numId w:val="2"/>
        </w:numPr>
        <w:spacing w:after="80" w:line="280"/>
      </w:pPr>
      <w:r>
        <w:rPr>
          <w:sz w:val="22"/>
          <w:szCs w:val="22"/>
        </w:rPr>
        <w:t xml:space="preserve">半导体领域客户认证周期长、产品验证严格、替换供应商成本高，进入国际设备商或晶圆厂供应链后具有一定客户黏性；但大型设备商和晶圆厂对纯度、颗粒、寿命、稳定性和交付能力要求高，通常仍具有较强议价能力。</w:t>
      </w:r>
    </w:p>
    <w:p>
      <w:pPr>
        <w:pStyle w:val="ListParagraph"/>
        <w:numPr>
          <w:ilvl w:val="0"/>
          <w:numId w:val="2"/>
        </w:numPr>
        <w:spacing w:after="80" w:line="280"/>
      </w:pPr>
      <w:r>
        <w:rPr>
          <w:sz w:val="22"/>
          <w:szCs w:val="22"/>
        </w:rPr>
        <w:t xml:space="preserve">光伏领域产品标准化程度相对较高，行业扩产容易造成供给增加，价格竞争明显。2024—2025年光伏高纯石英砂需求和价格明显下降，公司光伏业务毛利率大幅收缩，表明该业务对下游景气度及供需关系敏感。</w:t>
      </w:r>
    </w:p>
    <w:p>
      <w:pPr>
        <w:pStyle w:val="ListParagraph"/>
        <w:numPr>
          <w:ilvl w:val="0"/>
          <w:numId w:val="2"/>
        </w:numPr>
        <w:spacing w:after="80" w:line="280"/>
      </w:pPr>
      <w:r>
        <w:rPr>
          <w:sz w:val="22"/>
          <w:szCs w:val="22"/>
        </w:rPr>
        <w:t xml:space="preserve">光纤领域客户重视产品一致性、低杂质、尺寸规格和长期稳定供货，供应链认证形成一定客户黏性。2025年算力网络、数据中心、“双千兆”建设及超低损耗光纤升级带动相关石英辅材需求改善。</w:t>
      </w:r>
    </w:p>
    <w:p>
      <w:pPr>
        <w:pStyle w:val="ListParagraph"/>
        <w:numPr>
          <w:ilvl w:val="0"/>
          <w:numId w:val="2"/>
        </w:numPr>
        <w:spacing w:after="80" w:line="280"/>
      </w:pPr>
      <w:r>
        <w:rPr>
          <w:sz w:val="22"/>
          <w:szCs w:val="22"/>
        </w:rPr>
        <w:t xml:space="preserve">公司采用直销模式，并通过年度供货协议、招标采购及长期合作等方式供货。高端半导体石英材料在认证和切换成本方面具有一定黏性，但整体下游议价权仍因应用领域而异。</w:t>
      </w:r>
    </w:p>
    <w:p>
      <w:pPr>
        <w:pStyle w:val="ListParagraph"/>
        <w:numPr>
          <w:ilvl w:val="0"/>
          <w:numId w:val="2"/>
        </w:numPr>
        <w:spacing w:after="80" w:line="280"/>
      </w:pPr>
      <w:r>
        <w:rPr>
          <w:sz w:val="22"/>
          <w:szCs w:val="22"/>
        </w:rPr>
        <w:t xml:space="preserve">截至2025年12月31日，公司合并口径应收账款账面余额2.51亿元，相当于2025年营业收入100.80亿元的约24.9%；账面价值2.36亿元，约占营业收入23.4%。一年以内账龄余额2.41亿元，占应收账款余额约95.9%。2025年末前五名应收账款客户余额合计7,950.65万元，占应收账款和合同资产余额31.70%。存货账面价值约10.89亿元，其中原材料账面余额5.94亿元、库存商品账面价值3.50亿元、自制半成品账面价值1.37亿元；2025年经营活动现金流量净额为-5,983.50万元，2024年为8.39亿元。上述数据表明公司存在一定应收账款和存货营运资金占用，尚未全面体现强势买方地位，光伏业务的库存及价格压力可能向中游材料企业传导。</w:t>
      </w:r>
    </w:p>
    <w:p>
      <w:pPr>
        <w:pStyle w:val="ListParagraph"/>
        <w:numPr>
          <w:ilvl w:val="0"/>
          <w:numId w:val="2"/>
        </w:numPr>
        <w:spacing w:after="80" w:line="280"/>
      </w:pPr>
      <w:r>
        <w:rPr>
          <w:sz w:val="22"/>
          <w:szCs w:val="22"/>
        </w:rPr>
        <w:t xml:space="preserve">供应端：2025年前五名供应商采购额占年度采购总额56.96%，第二大供应商占10.60%，第五大供应商占4.73%，单一供应商未超过50%；需求端：2025年前五名客户销售额占年度销售总额27.29%，单一客户占比均未超过10%。上述集中度数据均为2025年披露口径，供应商和客户名称部分匿名，且客户及供应商具体构成无法进一步交叉判断，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约87.54%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光伏高纯石英砂价格大幅上涨，石英砂收入约59.09亿元、占营业收入约82.25%，石英砂毛利率约94.22%；高毛利主要受光伏产业链供需紧张和价格上涨驱动，不能简单视为常态化盈利能力。</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45.96%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光伏行业进入去库存和供需调整阶段，光伏收入同比下降93.97%，石英砂收入同比下降96.39%，石英砂毛利率降至54.44%；光纤半导体毛利率为56.29%，盈利质量相对较好。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34.61%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光伏供需错配及石英砂销售价格、销量承压，光伏业务毛利率降至13.13%；光纤半导体业务毛利率降至42.02%，石英砂产品毛利率降至24.84%，同时光纤半导体业务成本增长，综合毛利率进一步下降。</w:t>
            </w:r>
          </w:p>
        </w:tc>
      </w:tr>
    </w:tbl>
    <w:p>
      <w:pPr>
        <w:spacing w:before="200"/>
      </w:pPr>
    </w:p>
    <w:p>
      <w:pPr>
        <w:spacing w:after="160" w:line="300"/>
      </w:pPr>
      <w:r>
        <w:rPr>
          <w:sz w:val="22"/>
          <w:szCs w:val="22"/>
        </w:rPr>
        <w:t xml:space="preserve">公司位于高纯石英材料产业链中游，并向上游高纯石英砂提纯和下游半导体、光伏、光纤石英制品延伸，属于中游加工与材料制造环节；其盈利并非主要由矿产储量驱动，而取决于提纯、熔融加工、客户认证和一体化供应能力。短期利润仍受光伏石英砂价格和供需影响，中长期毛利率改善主要依赖半导体石英材料认证放量、光纤业务景气度提升、精密石英制品占比提升，以及高纯石英砂业务定价能力恢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5.4576亿元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同比增长6.00%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归母净利润9137.53万元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同比下降14.47%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约2.89亿元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同比增长10.84%，环比增长12.81%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归母净利润约5460.56万元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同比增长0.95%，环比增长48.51%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约10.08亿元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同比下降16.71%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归母净利润约1.53亿元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同比下降54.03%</w:t>
            </w:r>
          </w:p>
        </w:tc>
      </w:tr>
    </w:tbl>
    <w:p>
      <w:pPr>
        <w:spacing w:after="200"/>
      </w:pPr>
      <w:r>
        <w:rPr>
          <w:i/>
          <w:iCs/>
          <w:color w:val="595959"/>
          <w:sz w:val="18"/>
          <w:szCs w:val="18"/>
        </w:rPr>
        <w:t xml:space="preserve">截至2026年9月13日，已披露的最新一期财报为2026年半年度报告，报告期为2026年1月1日至6月30日，公告日期为2026年8月22日。2026年上半年扣非归母净利润为4955.53万元，同比下降19.14%；利润总额为1.01895亿元，同比下降12.62%；基本每股收益为0.17元，同比下降15.00%；加权平均净资产收益率为1.56%，同比下降0.28个百分点；经营活动产生的现金流量净额为2696.98万元，上年同期为-8797.995万元，同比由负转正。</w:t>
      </w:r>
    </w:p>
    <w:p>
      <w:pPr>
        <w:spacing w:after="160" w:line="300"/>
      </w:pPr>
      <w:r>
        <w:rPr>
          <w:sz w:val="22"/>
          <w:szCs w:val="22"/>
        </w:rPr>
        <w:t xml:space="preserve">公司最新财报呈现收入恢复、利润承压特征。2026年上半年收入增长主要来自光纤、半导体产品收入增加；利润下滑主要受非经常性损益减少、经营成本费用增加及资产减值计提增加影响。分产品看，石英管（棒）收入4.7707亿元，同比增长约12.24%，占营业收入约87.4%；石英砂收入4946.23万元，同比下降约28.20%；石英坩埚收入267.61万元，同比增长约14.90%；其他业务收入1655.62万元。收入结构显示，公司正由承压的光伏石英砂业务向半导体、光纤等高附加值石英材料业务调整，但盈利质量尚未完全修复。</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自同花顺盈利预测页面，截至2026年9月11日，页面显示有6家机构对公司2026年业绩作出预测，但当前可见的详细机构列表主要展示华泰证券、国金证券、东北证券和中泰证券4家，机构数量口径存在差异。上述数据属于券商或终端汇总预测，不是公司正式业绩指引。可见机构预测明细为：华泰证券2026年至2028年净利润2.90亿、6.38亿、9.46亿元，EPS为0.53元、1.18元、1.75元；国金证券为3.39亿、7.02亿、10.53亿元，EPS为0.63元、1.30元、1.94元；东北证券为4.12亿、7.16亿、8.35亿元，EPS为0.76元、1.32元、1.54元；中泰证券为2.87亿、4.11亿、5.24亿元，EPS为0.53元、0.76元、0.97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同花顺机构平均预测约13.60亿元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同花顺机构平均预测约3.46亿元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相较2025年归母净利润约1.53亿元，按纪要数据计算约增长126%；研究纪要未直接披露该口径的预测增速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平均预测约0.64元；预测区间0.53至0.78元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同花顺机构平均预测约20.12亿元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同花顺机构平均预测约6.61亿元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较2026年平均预测约增长91%；研究纪要未明确说明具体计算口径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平均预测约1.22元；预测区间0.76至1.47元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同花顺机构平均预测约25.78亿元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同花顺机构平均预测约8.86亿元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较2027年平均预测约增长34%；研究纪要未明确说明具体计算口径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平均预测约1.64元；预测区间0.97至1.98元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目标价56.57元；2026年至2028年归母净利润预测为2.90亿、6.38亿、9.46亿元，EPS为0.53元、1.18元、1.75元。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2026年7月22日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目标价67.00元。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未披露目标价。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山西证券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2026年4月13日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2026年3月29日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目标价47.75元。</w:t>
            </w:r>
          </w:p>
        </w:tc>
      </w:tr>
    </w:tbl>
    <w:p>
      <w:pPr>
        <w:spacing w:before="200"/>
      </w:pPr>
    </w:p>
    <w:p>
      <w:pPr>
        <w:spacing w:after="160" w:line="300"/>
      </w:pPr>
      <w:r>
        <w:rPr>
          <w:sz w:val="22"/>
          <w:szCs w:val="22"/>
        </w:rPr>
        <w:t xml:space="preserve">截至2026年9月11日收盘，公司股价46.88元，总市值约253亿至254亿元，市盈率TTM约184倍至186倍，市净率约4.32倍至4.40倍，TTM每股收益约0.25元，52周价格区间约34.74元至89.50元。不同行情终端的估值数据存在小幅差异，主要可能来自收盘价更新时间、TTM利润口径及数据刷新时间不同。按华泰证券最新预测，当前股价对应2026年至2028年前瞻PE约88倍、40倍和27倍；按同花顺机构平均EPS预测，分别约为73倍、38倍和29倍。公司当前静态估值明显偏高，主要受2025年至2026年上半年利润基数较低影响。若半导体、光纤等业务放量并达到机构对2027年至2028年的盈利预测，前瞻估值将明显下降；若新业务认证及放量、产品价格修复低于预期，当前高PE仍存在较大回撤风险。机构评级统计显示，同花顺近6个月收录的评级包括“买入”3家、“增持”4家，“中性”“减持”“卖出”均为0家，但可能包含同一机构的多次报告，不能简单理解为7家完全独立机构的一致意见。Investing.com截至2026年9月11日显示，2名分析师的12个月平均目标价约53.19元，最高66元、最低37元，整体评级为买入；由于分析师覆盖数量较少，参考价值相对有限。</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半导体高纯石英产品通过国内DRAM IDM厂商认证</w:t>
      </w:r>
    </w:p>
    <w:p>
      <w:pPr>
        <w:spacing w:after="160" w:line="300"/>
      </w:pPr>
      <w:r>
        <w:rPr>
          <w:sz w:val="22"/>
          <w:szCs w:val="22"/>
        </w:rPr>
        <w:t xml:space="preserve">2026年9月2日，公司在投资者互动平台表示，采用自主砂制备的炉管系列高纯石英产品已通过一家具备DRAM大规模量产能力的国内IDM厂商认证，海内外客户认证工作仍在持续推进。公司同时明确提示，产品通过认证不等同于已经实现批量供货。公司未披露客户名称、认证产品具体规格、订单金额、供货时间及预计收入贡献，暂无法量化该事项对经营业绩的影响。该信息主要来自投资者互动平台及媒体转述，未检索到公司就该认证单独发布正式临时公告。</w:t>
      </w:r>
    </w:p>
    <w:p>
      <w:pPr>
        <w:pStyle w:val="Heading2"/>
        <w:spacing w:after="120" w:before="240"/>
      </w:pPr>
      <w:r>
        <w:rPr>
          <w:b/>
          <w:bCs/>
          <w:color w:val="2E74B5"/>
          <w:sz w:val="24"/>
          <w:szCs w:val="24"/>
        </w:rPr>
        <w:t xml:space="preserve">4.2 包头子公司推进光纤套管新产线建设</w:t>
      </w:r>
    </w:p>
    <w:p>
      <w:pPr>
        <w:spacing w:after="160" w:line="300"/>
      </w:pPr>
      <w:r>
        <w:rPr>
          <w:sz w:val="22"/>
          <w:szCs w:val="22"/>
        </w:rPr>
        <w:t xml:space="preserve">2026年9月4日，公司在投资者互动平台表示，连云港基地暂无高端光纤套管新建产线计划，公司正通过包头子公司推进光纤套管新产线建设，预计于2026年底建设完成。公司尚未披露项目投资预算、规划产能、具体设备投入或已签署订单，项目能否按期投产及投产后的产能利用率存在不确定性。</w:t>
      </w:r>
    </w:p>
    <w:p>
      <w:pPr>
        <w:pStyle w:val="Heading2"/>
        <w:spacing w:after="120" w:before="240"/>
      </w:pPr>
      <w:r>
        <w:rPr>
          <w:b/>
          <w:bCs/>
          <w:color w:val="2E74B5"/>
          <w:sz w:val="24"/>
          <w:szCs w:val="24"/>
        </w:rPr>
        <w:t xml:space="preserve">4.3 光伏业务处于阶段性调整期</w:t>
      </w:r>
    </w:p>
    <w:p>
      <w:pPr>
        <w:spacing w:after="160" w:line="300"/>
      </w:pPr>
      <w:r>
        <w:rPr>
          <w:sz w:val="22"/>
          <w:szCs w:val="22"/>
        </w:rPr>
        <w:t xml:space="preserve">2026年9月4日，公司在投资者互动平台表示，当前光伏行业处于阶段性调整期，对年产6万吨高纯石英砂产线短期产能利用率带来一定压力。公司称，该产线产品应用场景不局限于光伏领域，也可适配半导体、光纤、光学等行业，随着技术迭代和下游应用场景扩展，产线利用率有望逐步修复。公司未披露当前实际产能利用率、订单量或跨领域转化收入。</w:t>
      </w:r>
    </w:p>
    <w:p>
      <w:pPr>
        <w:pStyle w:val="Heading2"/>
        <w:spacing w:after="120" w:before="240"/>
      </w:pPr>
      <w:r>
        <w:rPr>
          <w:b/>
          <w:bCs/>
          <w:color w:val="2E74B5"/>
          <w:sz w:val="24"/>
          <w:szCs w:val="24"/>
        </w:rPr>
        <w:t xml:space="preserve">4.4 2026年半年度营业收入增长但归母净利润下降</w:t>
      </w:r>
    </w:p>
    <w:p>
      <w:pPr>
        <w:spacing w:after="160" w:line="300"/>
      </w:pPr>
      <w:r>
        <w:rPr>
          <w:sz w:val="22"/>
          <w:szCs w:val="22"/>
        </w:rPr>
        <w:t xml:space="preserve">公司于2026年8月22日披露2026年半年度报告。2026年上半年实现营业收入5.46亿元，同比增长6.00%；归属于上市公司股东的净利润9137.53万元，同比下降14.47%；扣除非经常性损益后的归母净利润4955.53万元，同比下降19.14%。公司报告称，半导体业务受前期认证落地和产品结构优化影响，实现稳健增长，但整体盈利端仍承受成本、费用及资产减值等压力。公司同时披露，2026年半年度不进行利润分配，也不实施资本公积金转增股本。</w:t>
      </w:r>
    </w:p>
    <w:p>
      <w:pPr>
        <w:pStyle w:val="Heading2"/>
        <w:spacing w:after="120" w:before="240"/>
      </w:pPr>
      <w:r>
        <w:rPr>
          <w:b/>
          <w:bCs/>
          <w:color w:val="2E74B5"/>
          <w:sz w:val="24"/>
          <w:szCs w:val="24"/>
        </w:rPr>
        <w:t xml:space="preserve">4.5 2026年上半年计提资产减值准备2712.82万元</w:t>
      </w:r>
    </w:p>
    <w:p>
      <w:pPr>
        <w:spacing w:after="160" w:line="300"/>
      </w:pPr>
      <w:r>
        <w:rPr>
          <w:sz w:val="22"/>
          <w:szCs w:val="22"/>
        </w:rPr>
        <w:t xml:space="preserve">2026年8月22日，公司披露2026年半年度计提资产减值准备公告。2026年上半年合计计提信用减值损失和资产减值损失2712.82万元，其中信用减值损失393.13万元，资产减值损失2319.69万元，主要为存货跌价准备；合计减少公司2026年半年度利润总额2712.82万元。公司未进一步披露具体产品及子公司对应的存货减值明细，后续库存消化和价格压力仍需关注。</w:t>
      </w:r>
    </w:p>
    <w:p>
      <w:pPr>
        <w:pStyle w:val="Heading2"/>
        <w:spacing w:after="120" w:before="240"/>
      </w:pPr>
      <w:r>
        <w:rPr>
          <w:b/>
          <w:bCs/>
          <w:color w:val="2E74B5"/>
          <w:sz w:val="24"/>
          <w:szCs w:val="24"/>
        </w:rPr>
        <w:t xml:space="preserve">4.6 召开2026年半年度业绩说明会</w:t>
      </w:r>
    </w:p>
    <w:p>
      <w:pPr>
        <w:spacing w:after="160" w:line="300"/>
      </w:pPr>
      <w:r>
        <w:rPr>
          <w:sz w:val="22"/>
          <w:szCs w:val="22"/>
        </w:rPr>
        <w:t xml:space="preserve">公司于2026年8月25日召开2026年半年度业绩说明会，并于8月26日披露召开情况公告。公司在互动中继续强调半导体高纯石英材料认证推进、光纤套管业务建设及光伏业务调整等事项。公司未量化披露半导体客户具体名称、订单金额及收入贡献，并明确表示认证通过不等于已实现批量供货。</w:t>
      </w:r>
    </w:p>
    <w:p>
      <w:pPr>
        <w:pStyle w:val="Heading2"/>
        <w:spacing w:after="120" w:before="240"/>
      </w:pPr>
      <w:r>
        <w:rPr>
          <w:b/>
          <w:bCs/>
          <w:color w:val="2E74B5"/>
          <w:sz w:val="24"/>
          <w:szCs w:val="24"/>
        </w:rPr>
        <w:t xml:space="preserve">4.7 第四期员工持股计划存续期将于2027年2月15日届满</w:t>
      </w:r>
    </w:p>
    <w:p>
      <w:pPr>
        <w:spacing w:after="160" w:line="300"/>
      </w:pPr>
      <w:r>
        <w:rPr>
          <w:sz w:val="22"/>
          <w:szCs w:val="22"/>
        </w:rPr>
        <w:t xml:space="preserve">公司于2026年8月13日披露第四期员工持股计划存续期即将届满的提示性公告。该计划存续期将于2027年2月15日届满；若届满且未展期，员工持股计划将自行终止，在符合相关条件并履行持有人会议、董事会审议程序的情况下，存续期可以延长。该计划此前通过二级市场合计买入公司股票149.1597万股，占当时公司总股本约0.41%，成交均价约122.18元/股，成交金额约1.82亿元。</w:t>
      </w:r>
    </w:p>
    <w:p>
      <w:pPr>
        <w:pStyle w:val="Heading2"/>
        <w:spacing w:after="120" w:before="240"/>
      </w:pPr>
      <w:r>
        <w:rPr>
          <w:b/>
          <w:bCs/>
          <w:color w:val="2E74B5"/>
          <w:sz w:val="24"/>
          <w:szCs w:val="24"/>
        </w:rPr>
        <w:t xml:space="preserve">4.8 回购专用证券账户持股情况</w:t>
      </w:r>
    </w:p>
    <w:p>
      <w:pPr>
        <w:spacing w:after="160" w:line="300"/>
      </w:pPr>
      <w:r>
        <w:rPr>
          <w:sz w:val="22"/>
          <w:szCs w:val="22"/>
        </w:rPr>
        <w:t xml:space="preserve">截至2026年6月30日，公司回购专用证券账户持股约281.83万股，占流通股比例约0.52%，较上期未发生变化。该数据来自半年度股东持股统计，不代表近期发生了新的回购行为。截至2026年9月13日，未检索到公司在2026年8月至9月新披露股份回购方案、回购进展公告或回购结果公告。</w:t>
      </w:r>
    </w:p>
    <w:p>
      <w:pPr>
        <w:pStyle w:val="Heading2"/>
        <w:spacing w:after="120" w:before="240"/>
      </w:pPr>
      <w:r>
        <w:rPr>
          <w:b/>
          <w:bCs/>
          <w:color w:val="2E74B5"/>
          <w:sz w:val="24"/>
          <w:szCs w:val="24"/>
        </w:rPr>
        <w:t xml:space="preserve">4.9 2026年半年度前十大流通股东发生变化</w:t>
      </w:r>
    </w:p>
    <w:p>
      <w:pPr>
        <w:spacing w:after="160" w:line="300"/>
      </w:pPr>
      <w:r>
        <w:rPr>
          <w:sz w:val="22"/>
          <w:szCs w:val="22"/>
        </w:rPr>
        <w:t xml:space="preserve">根据2026年半年度报告披露的截至2026年6月30日股东数据，王兆英新进入前十大流通股东，持股214.64万股，占流通股约0.40%；罗宾木业持股增至458万股，较上期增加约61万股；齐福才持股降至410.59万股，较上期减少约259.25万股；香港中央结算有限公司持股降至约353.04万股，较上期减少约784.78万股；社保基金602组合退出前十大流通股东，上一期持股约402.01万股。上述数据属于季度末股东名册变化，不等同于全部股东的实时交易情况。</w:t>
      </w:r>
    </w:p>
    <w:p>
      <w:pPr>
        <w:pStyle w:val="Heading2"/>
        <w:spacing w:after="120" w:before="240"/>
      </w:pPr>
      <w:r>
        <w:rPr>
          <w:b/>
          <w:bCs/>
          <w:color w:val="2E74B5"/>
          <w:sz w:val="24"/>
          <w:szCs w:val="24"/>
        </w:rPr>
        <w:t xml:space="preserve">4.10 控股股东及实际控制人持股结构整体未明显变化</w:t>
      </w:r>
    </w:p>
    <w:p>
      <w:pPr>
        <w:spacing w:after="160" w:line="300"/>
      </w:pPr>
      <w:r>
        <w:rPr>
          <w:sz w:val="22"/>
          <w:szCs w:val="22"/>
        </w:rPr>
        <w:t xml:space="preserve">截至2026年6月30日，公司控股股东及实际控制人持股结构整体未发生明显变化。陈士斌持股约1.44亿股，占公司总股本约26.56%；富腾发展有限公司持股约1.23亿股，占比约22.70%。截至2026年9月13日，未检索到公司控股股东、实际控制人在2026年8月至9月期间单独发布的增持或减持计划公告。</w:t>
      </w:r>
    </w:p>
    <w:p>
      <w:pPr>
        <w:pStyle w:val="Heading2"/>
        <w:spacing w:after="120" w:before="240"/>
      </w:pPr>
      <w:r>
        <w:rPr>
          <w:b/>
          <w:bCs/>
          <w:color w:val="2E74B5"/>
          <w:sz w:val="24"/>
          <w:szCs w:val="24"/>
        </w:rPr>
        <w:t xml:space="preserve">4.11 未检索到新的业绩预告、重大并购及监管事项</w:t>
      </w:r>
    </w:p>
    <w:p>
      <w:pPr>
        <w:spacing w:after="160" w:line="300"/>
      </w:pPr>
      <w:r>
        <w:rPr>
          <w:sz w:val="22"/>
          <w:szCs w:val="22"/>
        </w:rPr>
        <w:t xml:space="preserve">截至2026年9月13日，未检索到公司针对2026年前三季度或2026年度发布新的业绩预告、业绩快报或明确盈利指引；未检索到2026年8月至9月新的重大并购、资产收购或重大股权投资公告；未检索到上海证券交易所针对公司发布新的监管工作函、问询函或纪律处分公告。公司此前的历史监管措施不属于本次2026年8月至9月的最新动态。</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46.88元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-0.11元，-0.23%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46.27元/47.08元/45.20元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日内振幅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约4.00%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119,801手，约1,198万股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55,512万元，约5.55亿元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均约253.94亿元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34.74~89.50元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动态市盈率/扣非市盈率/市净率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约184.19倍/约386.30倍/约4.32倍</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2026年6月29日至9月11日经历高位回撤、反弹后再度回落；当前处于约44.5~48.0元短线震荡区间</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6月底盘中最高89.50元，7月20日最低44.90元；8月底冲高至54.25元后未能有效突破54元附近，9月初再次回落，短线仍偏弱震荡。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MA5约46.99元，MA10约47.53元，MA20约48.30元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当前股价46.88元略低于MA5，低于MA10和MA20；均线关系为MA5＜MA10＜MA20，短线呈偏弱排列，9月初反弹暂更接近超跌修复。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约-0.31；数据截至2026年9月10日技术快照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MACD处于负值区域，公开网页未提供截至9月11日的完整DIF、DEA及柱值，不能视为9月11日收盘精确值；技术信号为卖出，反弹动能尚未转化为明确的中期多头趋势。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46.573；数据截至2026年9月10日技术快照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技术评价为中性，位于40~50附近，多空力量相对均衡，尚未进入明显超卖区域；若后续RSI重新站上50并伴随股价突破48.5~49.0元，短线动能才可能有所改善。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中轨约48.30元，上轨约52.2元，下轨约44.4元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当前股价位于中轨下方、下轨上方，处于布林通道中下部；44.4~45.2元区域具有一定技术支撑意义。该指标为基于公开历史收盘数据的近似计算值。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近期成交额与换手率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近5个交易日平均成交额约6.84亿元、平均换手率约2.67%；近10个交易日平均成交额约7.33亿元、平均换手率约2.82%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9月11日成交额约5.55亿元、换手率2.21%，低于近期均值；相比8月底放量阶段，近期市场参与度有所回落。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2026年9月11日超大单净流出约1,738.63万元，大单净流入约1,764.46万元；合计净流入约25.83万元，占成交额约0.05%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主力资金按超大单与大单合计后基本接近净持平，近期未形成持续、明确的主力净流入趋势，更接近短线资金分歧和存量博弈；该分类不等同于机构真实持仓变化。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融资资金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2026年9月11日融资买入约5,670.17万元，融资余额约10.30亿元，占流通市值约4.06%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市场存在一定杠杆资金参与；反弹时可能放大买盘，跌破重要支撑时也可能增加融资盘平仓压力。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截至2026年6月30日半年报，前十大股东合计持股约3.13亿股，占总股本约57.85%；控股股东陈士斌持股26.56%，富腾发展有限公司持股22.70%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权集中度较高，控股股东及一致行动人持股比例较高；前十大股东中包括香港中央结算、南方中证申万有色金属ETF及公司回购专用证券账户，但机构资金占比并不突出。股东结构截至9月11日可能已发生变化，不能视为实时筹码分布。</w:t>
            </w:r>
          </w:p>
        </w:tc>
      </w:tr>
    </w:tbl>
    <w:p>
      <w:pPr>
        <w:spacing w:before="200"/>
      </w:pPr>
    </w:p>
    <w:p>
      <w:pPr>
        <w:spacing w:after="160" w:line="300"/>
      </w:pPr>
      <w:r>
        <w:rPr>
          <w:sz w:val="22"/>
          <w:szCs w:val="22"/>
        </w:rPr>
        <w:t xml:space="preserve">截至2026年9月11日，石英股份收于46.88元，处于52周价格区间34.74~89.50元的中下部。股价在6月底高位回撤后，经历7月下旬至8月下旬反弹，但8月底未能有效突破54元附近，9月初再次回落。当前股价低于MA10和MA20，MA5、MA10、MA20呈偏弱排列；MACD仍处于负值区域，RSI处于中性区间，布林带位置显示尚未达到极端超卖。短线技术结构更接近弱势震荡，后续重点观察45.2~46.0元支撑、48.3~49.8元压力及成交额能否放大确认。近期主力资金合计接近净持平，融资余额占流通市值约4.06%，增量资金方向尚不明确。</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风险提示：以下内容仅为基于2026年9月11日收盘数据、历史价格和技术指标的主观情景推演，不构成投资建议，也不代表对未来实际涨跌方向或目标价格的确定性判断。</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48.3~49.8元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48.3元附近对应MA20及布林中轨，49.8元附近接近9月9日盘中高点49.81元；若放量站稳49.8元，下一观察区为51.0~52.3元；若多次受阻，仍可能回到震荡区间下沿。</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45.2~46.0元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包含9月11日盘中低点45.20元、9月4日收盘价44.98元附近及9月8日盘中低点约45.9元；若缩量企稳，仍属区间震荡；若放量跌破45.0元，短线弱势可能加剧。</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40.2~42.3元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包含7月30日盘中低点40.22元、8月4日盘中低点41.00元及8月3日盘中高点附近42.29元；若45元附近支撑失守，可能转向观察该区域；跌破后意味着7月下旬以来反弹结构进一步破坏。</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是基于当前技术面和资金流向的主观启发式判断，不是统计概率）：观察区间为45.2~49.0元。触发条件包括股价守住45.2~46.0元支撑区、成交额维持约5亿~8亿元近期常态范围、主力资金未出现连续数日明显净流出，且股价在48.3~49.8元压力区附近冲高回落。当前股价低于MA10和MA20、MACD为负且资金面接近中性，但尚未出现极端超卖，45元上方横向整理是相对符合当前技术结构的情景。</w:t>
      </w:r>
    </w:p>
    <w:p>
      <w:pPr>
        <w:pStyle w:val="ListParagraph"/>
        <w:numPr>
          <w:ilvl w:val="0"/>
          <w:numId w:val="2"/>
        </w:numPr>
        <w:spacing w:after="80" w:line="280"/>
      </w:pPr>
      <w:r>
        <w:rPr>
          <w:sz w:val="22"/>
          <w:szCs w:val="22"/>
        </w:rPr>
        <w:t xml:space="preserve">偏弱下行（权重中等；为基于当前技术面、量价和融资背景的主观判断，不是统计概率）：观察区间为42.0~45.2元。若收盘价有效跌破45.0元，同时单日成交额明显高于近期均值并伴随主力资金连续净流出，或有色金属、非金属材料、半导体材料板块继续走弱、融资资金出现被动减仓迹象，则可能向42元附近回撤并测试40.2~42.3元支撑区。</w:t>
      </w:r>
    </w:p>
    <w:p>
      <w:pPr>
        <w:pStyle w:val="ListParagraph"/>
        <w:numPr>
          <w:ilvl w:val="0"/>
          <w:numId w:val="2"/>
        </w:numPr>
        <w:spacing w:after="80" w:line="280"/>
      </w:pPr>
      <w:r>
        <w:rPr>
          <w:sz w:val="22"/>
          <w:szCs w:val="22"/>
        </w:rPr>
        <w:t xml:space="preserve">反弹走强（权重偏低至中等；为基于当前技术面和量能条件的主观判断，不是统计概率）：观察区间为49.0~52.3元。触发条件包括股价重新站上48.3元附近的MA20/布林中轨，随后放量突破49.8元并连续收盘站稳，单日成交额提升至至少约10亿元附近，主力资金由近期基本持平转为连续净流入，且石英材料、半导体材料或相关电子板块同步走强。若仅缩量反弹至48.3~49.8元而没有成交额确认，更可能属于弱势反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最近5个交易日平均成交额约6.84亿元、平均换手率约2.67%，最近10个交易日平均成交额约7.33亿元、平均换手率约2.82%；当日成交额约5.55亿元、换手率2.21%。石英股份并非低流动性小盘股，但近期成交额较8月底高峰明显下降，短期市场参与度有所回落。根据2026年6月30日半年报，前十大股东合计持股约57.85%，其中控股股东陈士斌与富腾发展有限公司合计持股49.26%；前十大股东中可确认的机构或类机构持有人包括香港中央结算、南方中证申万有色金属ETF及此前阶段性出现的全国社保基金，但截至6月30日全国社保基金六零二组合已不再位列前十大。该股东数据存在季度时滞，2026年6月30日之后的结构可能已经变化。实践上，高集中度意味着部分可交易筹码相对集中，但机构资金是否持续参与无法仅凭前十大股东判断，短线走势仍可能受行业情绪、融资资金和增量成交影响。</w:t>
      </w:r>
    </w:p>
    <w:p>
      <w:pPr>
        <w:spacing w:after="160" w:line="300"/>
      </w:pPr>
      <w:r>
        <w:rPr>
          <w:sz w:val="22"/>
          <w:szCs w:val="22"/>
        </w:rPr>
        <w:t xml:space="preserve">若未来一周出现单日成交额连续放大至约10亿元以上，并且股价同时站稳49.8元上方，可视为短线资金参与度明显改善的量能确认信号；若成交额始终低于约7亿元且股价反复受压于48.3~49.8元，则更偏向震荡或弱势反抽。</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观察45.2~46.0元区域能否止跌；若放量跌破45元，继续观察42元附近及40.2~42.3元支撑。以上为观察思路，非操作指令。</w:t>
      </w:r>
    </w:p>
    <w:p>
      <w:pPr>
        <w:pStyle w:val="ListParagraph"/>
        <w:numPr>
          <w:ilvl w:val="0"/>
          <w:numId w:val="2"/>
        </w:numPr>
        <w:spacing w:after="80" w:line="280"/>
      </w:pPr>
      <w:r>
        <w:rPr>
          <w:sz w:val="22"/>
          <w:szCs w:val="22"/>
        </w:rPr>
        <w:t xml:space="preserve">观察48.3元附近MA20及布林中轨能否重新站上。以上为观察思路，非操作指令。</w:t>
      </w:r>
    </w:p>
    <w:p>
      <w:pPr>
        <w:pStyle w:val="ListParagraph"/>
        <w:numPr>
          <w:ilvl w:val="0"/>
          <w:numId w:val="2"/>
        </w:numPr>
        <w:spacing w:after="80" w:line="280"/>
      </w:pPr>
      <w:r>
        <w:rPr>
          <w:sz w:val="22"/>
          <w:szCs w:val="22"/>
        </w:rPr>
        <w:t xml:space="preserve">观察49.8元能否在成交额放大配合下突破并站稳；若缺乏量能确认，反弹持续性仍需观察。以上为观察思路，非操作指令。</w:t>
      </w:r>
    </w:p>
    <w:p>
      <w:pPr>
        <w:pStyle w:val="ListParagraph"/>
        <w:numPr>
          <w:ilvl w:val="0"/>
          <w:numId w:val="2"/>
        </w:numPr>
        <w:spacing w:after="80" w:line="280"/>
      </w:pPr>
      <w:r>
        <w:rPr>
          <w:sz w:val="22"/>
          <w:szCs w:val="22"/>
        </w:rPr>
        <w:t xml:space="preserve">关注单日成交额能否由近期5亿~8亿元常态区间提升至约10亿元以上，并结合主力资金是否连续净流入判断量价配合程度。以上为观察思路，非操作指令。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高纯石英材料主要用于半导体扩散、刻蚀等工艺，也用于光伏热场、石英坩埚、光纤预制棒及特种光源。石英股份覆盖高纯石英砂、石英管棒及多类石英制品，2025年光纤半导体业务收入占主营业务收入53.61%，公司业务重心正由过去较依赖光伏石英砂价差，转向半导体和光纤等相对高附加值方向。</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行业壁垒包括矿石及原料纯度、杂质控制和批次稳定性，高纯石英砂提纯及熔炼工艺，大尺寸石英管棒、石英筒、石英环及精密器件加工能力。</w:t>
      </w:r>
    </w:p>
    <w:p>
      <w:pPr>
        <w:pStyle w:val="ListParagraph"/>
        <w:numPr>
          <w:ilvl w:val="0"/>
          <w:numId w:val="2"/>
        </w:numPr>
        <w:spacing w:after="80" w:line="280"/>
      </w:pPr>
      <w:r>
        <w:rPr>
          <w:sz w:val="22"/>
          <w:szCs w:val="22"/>
        </w:rPr>
        <w:t xml:space="preserve">半导体设备商和晶圆厂的长期认证、产品寿命、颗粒控制、洁净度、交付稳定性及客户供应链关系构成重要竞争壁垒。</w:t>
      </w:r>
    </w:p>
    <w:p>
      <w:pPr>
        <w:pStyle w:val="ListParagraph"/>
        <w:numPr>
          <w:ilvl w:val="0"/>
          <w:numId w:val="2"/>
        </w:numPr>
        <w:spacing w:after="80" w:line="280"/>
      </w:pPr>
      <w:r>
        <w:rPr>
          <w:sz w:val="22"/>
          <w:szCs w:val="22"/>
        </w:rPr>
        <w:t xml:space="preserve">普通光伏石英砂竞争更容易受到新增产能冲击，价格波动较大；半导体级石英材料和精密石英器件认证周期长、技术及质量壁垒高，竞争相对集中；光纤石英辅材强调长期稳定供货、低损耗、尺寸规格和客户认证。</w:t>
      </w:r>
    </w:p>
    <w:p>
      <w:pPr>
        <w:pStyle w:val="ListParagraph"/>
        <w:numPr>
          <w:ilvl w:val="0"/>
          <w:numId w:val="2"/>
        </w:numPr>
        <w:spacing w:after="80" w:line="280"/>
      </w:pPr>
      <w:r>
        <w:rPr>
          <w:sz w:val="22"/>
          <w:szCs w:val="22"/>
        </w:rPr>
        <w:t xml:space="preserve">2024—2025年光伏产业处于供需错配、去库存和去产能阶段，石英砂需求、价格和销售量承压；半导体材料认证放量、光纤通信需求改善及产品结构升级是公司后续利润改善的重要方向。</w:t>
      </w:r>
    </w:p>
    <w:p>
      <w:pPr>
        <w:pStyle w:val="ListParagraph"/>
        <w:numPr>
          <w:ilvl w:val="0"/>
          <w:numId w:val="2"/>
        </w:numPr>
        <w:spacing w:after="80" w:line="280"/>
      </w:pPr>
      <w:r>
        <w:rPr>
          <w:sz w:val="22"/>
          <w:szCs w:val="22"/>
        </w:rPr>
        <w:t xml:space="preserve">公司公开披露的高纯石英砂约17万吨/年产能来自2024年投资者问答及项目建设口径，2025年年报未重新确认，应视为历史公开披露的布局产能，而非2025年实际有效产能。</w:t>
      </w:r>
    </w:p>
    <w:p>
      <w:pPr>
        <w:pStyle w:val="ListParagraph"/>
        <w:numPr>
          <w:ilvl w:val="0"/>
          <w:numId w:val="2"/>
        </w:numPr>
        <w:spacing w:after="80" w:line="280"/>
      </w:pPr>
      <w:r>
        <w:rPr>
          <w:sz w:val="22"/>
          <w:szCs w:val="22"/>
        </w:rPr>
        <w:t xml:space="preserve">公司未系统披露天然石英矿石自有矿权、可采储量和资源自给率，因此不宜使用“资源储量巨大”或“资源自给率高”等表述。</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湖北菲利华石英玻璃股份有限公司（300395）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高性能石英玻璃材料、石英玻璃制品、石英纤维及复合材料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在高性能石英玻璃、半导体石英器件、石英纤维及航空航天材料方面优势较强，产品结构更偏高端石英玻璃制品和石英纤维；与石英股份在半导体石英材料、光伏石英制品及光纤相关材料方面存在部分重叠。</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凯盛科技股份有限公司（600552）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显示材料和应用材料，高纯石英、纳米氧化锆、球形材料等</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在高纯石英领域采取合成石英及新材料路线，可能在半导体级合成石英及新型硅基材料领域与石英股份形成竞争；并非纯石英材料公司，业务体量和结构不同。</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北京凯德石英股份有限公司（920179）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石英仪器、石英管道、石英舟等半导体石英玻璃制品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2025年半导体集成电路芯片用石英产品收入占总收入96.56%，更专注下游半导体石英器件；与石英股份在半导体石英制品方面存在直接竞争，但石英股份覆盖上游高纯石英砂及多个终端领域。</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中旗新材料股份有限公司（001212）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人造石英石板材和台面，并布局高纯石英砂</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高纯石英砂项目已投产并实现石英坩埚中层砂销售，规划建设半导体级、光伏坩埚用高纯砂项目；当前收入主体仍为人造石英石板材和台面，属于潜在竞争者而非全面可比公司。</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杭州大和热磁、贺利氏信越、沈阳汉科、上海强华、臻宝科技等</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半导体石英零部件及相关石英制品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属于细分产品竞争对手，不同企业覆盖的产品规格、工艺环节和客户群存在差异，不能视为石英股份整体业务的完全可比公司。</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美国矽比科、挪威TQC等海外企业</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高纯石英砂</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属于高纯石英砂领域的海外供应商，竞争关系主要集中于细分产品和特定应用领域；相关竞争关系未全部通过石英股份2025年年报交叉核实。</w:t>
            </w:r>
          </w:p>
        </w:tc>
      </w:tr>
    </w:tbl>
    <w:p>
      <w:pPr>
        <w:spacing w:before="200"/>
      </w:pPr>
    </w:p>
    <w:p>
      <w:pPr>
        <w:spacing w:after="160" w:line="300"/>
      </w:pPr>
      <w:r>
        <w:rPr>
          <w:sz w:val="22"/>
          <w:szCs w:val="22"/>
        </w:rPr>
        <w:t xml:space="preserve">石英股份的差异化在于覆盖高纯石英砂、石英管棒及多类石英制品，形成相对完整的材料链条，并同时布局半导体、光伏、光纤和光源应用。菲利华更偏高端石英玻璃制品、石英纤维及航空航天材料；凯德石英更偏半导体石英器件及下游加工；凯盛科技和中旗新材分别在合成石英、新材料及高纯石英砂领域形成潜在竞争。由于各公司产品规格、工艺环节和下游应用差异较大，上述公司应作为分领域可比或潜在竞争者，不能视为完全同质化竞争者。</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半导体认证转化风险：公司披露自主砂制备的炉管系列高纯石英产品已通过一家国内DRAM IDM厂商认证，但尚未披露客户名称、订单金额、供货时间和预计收入贡献，并明确认证不等同于批量供货；若后续认证推进或批量导入慢于预期，半导体业务的利润贡献可能低于市场预期。</w:t>
      </w:r>
    </w:p>
    <w:p>
      <w:pPr>
        <w:pStyle w:val="ListParagraph"/>
        <w:numPr>
          <w:ilvl w:val="0"/>
          <w:numId w:val="2"/>
        </w:numPr>
        <w:spacing w:after="80" w:line="280"/>
      </w:pPr>
      <w:r>
        <w:rPr>
          <w:sz w:val="22"/>
          <w:szCs w:val="22"/>
        </w:rPr>
        <w:t xml:space="preserve">光伏业务及库存减值风险：2025年公司光伏业务收入同比下降40.46%、毛利率降至13.13%；2026年上半年石英砂收入同比下降约28.20%，年产6万吨高纯石英砂产线短期产能利用率承压。2026年上半年公司计提资产减值准备2319.69万元，主要为存货跌价准备，若光伏产品价格和库存消化继续承压，仍可能带来进一步减值或利润波动。</w:t>
      </w:r>
    </w:p>
    <w:p>
      <w:pPr>
        <w:pStyle w:val="ListParagraph"/>
        <w:numPr>
          <w:ilvl w:val="0"/>
          <w:numId w:val="2"/>
        </w:numPr>
        <w:spacing w:after="80" w:line="280"/>
      </w:pPr>
      <w:r>
        <w:rPr>
          <w:sz w:val="22"/>
          <w:szCs w:val="22"/>
        </w:rPr>
        <w:t xml:space="preserve">盈利能力持续下滑风险：公司综合毛利率由2023年约87.54%降至2024年的45.96%，并进一步降至2025年的34.61%；2026年上半年收入同比增长但归母净利润下降14.47%，扣非归母净利润下降19.14%。若收入恢复不能同步转化为利润增长，市场对盈利修复的预期可能落空。</w:t>
      </w:r>
    </w:p>
    <w:p>
      <w:pPr>
        <w:pStyle w:val="ListParagraph"/>
        <w:numPr>
          <w:ilvl w:val="0"/>
          <w:numId w:val="2"/>
        </w:numPr>
        <w:spacing w:after="80" w:line="280"/>
      </w:pPr>
      <w:r>
        <w:rPr>
          <w:sz w:val="22"/>
          <w:szCs w:val="22"/>
        </w:rPr>
        <w:t xml:space="preserve">光纤套管项目建设及产能利用风险：公司计划通过包头子公司推进光纤套管新产线建设，预计于2026年底完成，但尚未披露投资预算、规划产能、具体设备投入或已签署订单，项目能否按期投产、投产后的产能利用率及收入贡献存在不确定性。</w:t>
      </w:r>
    </w:p>
    <w:p>
      <w:pPr>
        <w:pStyle w:val="ListParagraph"/>
        <w:numPr>
          <w:ilvl w:val="0"/>
          <w:numId w:val="2"/>
        </w:numPr>
        <w:spacing w:after="80" w:line="280"/>
      </w:pPr>
      <w:r>
        <w:rPr>
          <w:sz w:val="22"/>
          <w:szCs w:val="22"/>
        </w:rPr>
        <w:t xml:space="preserve">营运资金占用及现金流风险：截至2025年末，公司应收账款账面余额2.51亿元、存货账面价值约10.89亿元，2025年经营活动现金流量净额为-5983.50万元，较2024年的8.39亿元明显转弱。若客户回款、库存周转或光伏产品价格改善不及预期，可能继续占用现金并加大减值压力。</w:t>
      </w:r>
    </w:p>
    <w:p>
      <w:pPr>
        <w:pStyle w:val="ListParagraph"/>
        <w:numPr>
          <w:ilvl w:val="0"/>
          <w:numId w:val="2"/>
        </w:numPr>
        <w:spacing w:after="80" w:line="280"/>
      </w:pPr>
      <w:r>
        <w:rPr>
          <w:sz w:val="22"/>
          <w:szCs w:val="22"/>
        </w:rPr>
        <w:t xml:space="preserve">原料供应与成本波动风险：2025年前五名供应商采购额占年度采购总额56.96%，供应商集中度不低；石英管棒成本中直接材料占68.16%，石英砂成本中直接材料占82.58%。公司未系统披露矿源结构、具体矿石品位及长期采购价格机制，原料价格、品质稳定性或供应结构变化可能影响生产成本和产品良率。</w:t>
      </w:r>
    </w:p>
    <w:p>
      <w:pPr>
        <w:pStyle w:val="ListParagraph"/>
        <w:numPr>
          <w:ilvl w:val="0"/>
          <w:numId w:val="2"/>
        </w:numPr>
        <w:spacing w:after="80" w:line="280"/>
      </w:pPr>
      <w:r>
        <w:rPr>
          <w:sz w:val="22"/>
          <w:szCs w:val="22"/>
        </w:rPr>
        <w:t xml:space="preserve">估值回撤风险：截至2026年9月11日，公司股价46.88元，动态市盈率约184倍、扣非市盈率约386倍，估值较高；若半导体认证放量、光纤业务扩张或利润修复低于机构预测，当前估值可能面临较大调整压力。</w:t>
      </w:r>
    </w:p>
    <w:p>
      <w:pPr>
        <w:pStyle w:val="ListParagraph"/>
        <w:numPr>
          <w:ilvl w:val="0"/>
          <w:numId w:val="2"/>
        </w:numPr>
        <w:spacing w:after="80" w:line="280"/>
      </w:pPr>
      <w:r>
        <w:rPr>
          <w:sz w:val="22"/>
          <w:szCs w:val="22"/>
        </w:rPr>
        <w:t xml:space="preserve">短期技术与融资波动风险：公司股价低于MA10和MA20，MACD处于负值区域，近期主力资金合计基本净持平；融资余额约10.30亿元、占流通市值约4.06%，若股价跌破45元附近支撑并引发融资资金减仓，可能放大短期价格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增长逻辑主要来自半导体高纯石英材料认证放量、光纤通信相关需求改善、光纤套管新产线建设，以及精密石英制品占比提升。2026年上半年光纤、半导体产品收入增加，经营活动现金流量净额由上年同期的负值转为2696.98万元，说明经营质量出现一定改善。不过，光伏石英砂业务仍处于阶段性调整期，年产6万吨产线短期产能利用率承压，盈利修复能否持续取决于高附加值业务能否形成可量化的订单和利润贡献。</w:t>
      </w:r>
    </w:p>
    <w:p>
      <w:pPr>
        <w:spacing w:after="160" w:line="300"/>
      </w:pPr>
      <w:r>
        <w:rPr>
          <w:sz w:val="22"/>
          <w:szCs w:val="22"/>
        </w:rPr>
        <w:t xml:space="preserve">机构平均预测2026年至2028年归母净利润约为3.46亿元、6.61亿元和8.86亿元，较低利润基数对应较高的预测增速；若半导体和光纤业务按预期认证、放量，当前估值可能随盈利增长而逐步消化。反之，若认证转化为批量供货的进度、光伏库存消化或产品价格修复低于预期，公司当前较高的静态及前瞻估值将面临重新评估。</w:t>
      </w:r>
    </w:p>
    <w:p>
      <w:pPr>
        <w:spacing w:after="160" w:line="300"/>
      </w:pPr>
      <w:r>
        <w:rPr>
          <w:sz w:val="22"/>
          <w:szCs w:val="22"/>
        </w:rPr>
        <w:t xml:space="preserve">总体而言，石英股份处于由光伏周期驱动向半导体、光纤等高附加值业务转型的关键阶段，技术和客户认证壁垒构成中长期支撑，但短期业绩尚未完全验证转型成效。后续应重点关注半导体认证是否转化为批量订单、光纤套管产线能否按期投产并形成有效利用率、光伏石英砂库存及减值压力是否缓解，以及利润增长能否与较高估值相匹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石英股份(603688)_公司公告_石英股份：2025年年度报告摘要新浪财经_新浪网 — https://money.finance.sina.com.cn/corp/view/vCB_AllBulletinDetail.php?id=12027934&amp;stockid=603688</w:t>
      </w:r>
    </w:p>
    <w:p>
      <w:pPr>
        <w:spacing w:after="200"/>
      </w:pPr>
      <w:r>
        <w:rPr>
          <w:i/>
          <w:iCs/>
          <w:color w:val="595959"/>
          <w:sz w:val="18"/>
          <w:szCs w:val="18"/>
        </w:rPr>
        <w:t xml:space="preserve">石英股份(603688)_公司公告_石英股份：2025年年度报告新浪财经_新浪网 — https://money.finance.sina.com.cn/corp/view/vCB_AllBulletinDetail.php?id=12027945&amp;stockid=603688&amp;utm_source=openai</w:t>
      </w:r>
    </w:p>
    <w:p>
      <w:pPr>
        <w:spacing w:after="200"/>
      </w:pPr>
      <w:r>
        <w:rPr>
          <w:i/>
          <w:iCs/>
          <w:color w:val="595959"/>
          <w:sz w:val="18"/>
          <w:szCs w:val="18"/>
        </w:rPr>
        <w:t xml:space="preserve">石英股份(603688)_公司公告_石英股份：2025年年度报告新浪财经_新浪网 — https://vip.stock.finance.sina.com.cn/corp/view/vCB_AllBulletinDetail.php?id=12027945&amp;stockid=603688&amp;utm_source=openai</w:t>
      </w:r>
    </w:p>
    <w:p>
      <w:pPr>
        <w:spacing w:after="200"/>
      </w:pPr>
      <w:r>
        <w:rPr>
          <w:i/>
          <w:iCs/>
          <w:color w:val="595959"/>
          <w:sz w:val="18"/>
          <w:szCs w:val="18"/>
        </w:rPr>
        <w:t xml:space="preserve">石英股份(603688)_公司公告_石英股份：关于2024年第一季度业绩说明会召开情况的公告新浪财经_新浪网 — https://vip.stock.finance.sina.com.cn/corp/view/vCB_AllBulletinDetail.php?id=10247254&amp;stockid=603688&amp;utm_source=openai</w:t>
      </w:r>
    </w:p>
    <w:p>
      <w:pPr>
        <w:spacing w:after="200"/>
      </w:pPr>
      <w:r>
        <w:rPr>
          <w:i/>
          <w:iCs/>
          <w:color w:val="595959"/>
          <w:sz w:val="18"/>
          <w:szCs w:val="18"/>
        </w:rPr>
        <w:t xml:space="preserve">石英股份(603688)_公司公告_石英股份：2024年年度报告新浪财经_新浪网 — https://money.finance.sina.com.cn/corp/view/vCB_AllBulletinDetail.php?id=10997290&amp;stockid=603688&amp;utm_source=openai</w:t>
      </w:r>
    </w:p>
    <w:p>
      <w:pPr>
        <w:spacing w:after="200"/>
      </w:pPr>
      <w:r>
        <w:rPr>
          <w:i/>
          <w:iCs/>
          <w:color w:val="595959"/>
          <w:sz w:val="18"/>
          <w:szCs w:val="18"/>
        </w:rPr>
        <w:t xml:space="preserve">石英股份(603688)_公司公告_石英股份：2025年年度报告新浪财经_新浪网 — https://vip.stock.finance.sina.com.cn/corp/view/vCB_AllBulletinDetail.php?id=12027945&amp;stockid=603688</w:t>
      </w:r>
    </w:p>
    <w:p>
      <w:pPr>
        <w:spacing w:after="200"/>
      </w:pPr>
      <w:r>
        <w:rPr>
          <w:i/>
          <w:iCs/>
          <w:color w:val="595959"/>
          <w:sz w:val="18"/>
          <w:szCs w:val="18"/>
        </w:rPr>
        <w:t xml:space="preserve">石英股份：2023年净利润同比增长378.92% 拟10转5股派57元|石英股份_新浪财经_新浪网 — https://finance.sina.com.cn/roll/2024-03-22/doc-inapfnvh7906999.shtml?utm_source=openai</w:t>
      </w:r>
    </w:p>
    <w:p>
      <w:pPr>
        <w:spacing w:after="200"/>
      </w:pPr>
      <w:r>
        <w:rPr>
          <w:i/>
          <w:iCs/>
          <w:color w:val="595959"/>
          <w:sz w:val="18"/>
          <w:szCs w:val="18"/>
        </w:rPr>
        <w:t xml:space="preserve">湖北菲利华石英玻璃股份有限公司 2024 年年度报告全文 — https://www.100est.com/res/financial-report/r2024/SZ300395_202504211660048801.pdf?utm_source=openai</w:t>
      </w:r>
    </w:p>
    <w:p>
      <w:pPr>
        <w:spacing w:after="200"/>
      </w:pPr>
      <w:r>
        <w:rPr>
          <w:i/>
          <w:iCs/>
          <w:color w:val="595959"/>
          <w:sz w:val="18"/>
          <w:szCs w:val="18"/>
        </w:rPr>
        <w:t xml:space="preserve">凯盛科技股份有限公司 2024 年年度报告 — https://www.100est.com/res/financial-report/r2024/SH600552_202503271648304842.pdf?utm_source=openai</w:t>
      </w:r>
    </w:p>
    <w:p>
      <w:pPr>
        <w:spacing w:after="200"/>
      </w:pPr>
      <w:r>
        <w:rPr>
          <w:i/>
          <w:iCs/>
          <w:color w:val="595959"/>
          <w:sz w:val="18"/>
          <w:szCs w:val="18"/>
        </w:rPr>
        <w:t xml:space="preserve">凯德石英(920179)_公司公告_凯德石英：2025年年度报告新浪财经_新浪网 — https://money.finance.sina.com.cn/corp/view/vCB_AllBulletinDetail.php?id=12151719&amp;stockid=920179&amp;utm_source=openai</w:t>
      </w:r>
    </w:p>
    <w:p>
      <w:pPr>
        <w:spacing w:after="200"/>
      </w:pPr>
      <w:r>
        <w:rPr>
          <w:i/>
          <w:iCs/>
          <w:color w:val="595959"/>
          <w:sz w:val="18"/>
          <w:szCs w:val="18"/>
        </w:rPr>
        <w:t xml:space="preserve">中旗新材(001212)_公司公告_中旗新材：2024年年度报告新浪财经_新浪网 — https://money.finance.sina.com.cn/corp/view/vCB_AllBulletinDetail.php?id=10952941&amp;stockid=001212&amp;utm_source=openai</w:t>
      </w:r>
    </w:p>
    <w:p>
      <w:pPr>
        <w:spacing w:after="200"/>
      </w:pPr>
      <w:r>
        <w:rPr>
          <w:i/>
          <w:iCs/>
          <w:color w:val="595959"/>
          <w:sz w:val="18"/>
          <w:szCs w:val="18"/>
        </w:rPr>
        <w:t xml:space="preserve">公司公告_凯德石英：招股说明书新浪财经_新浪网 — https://money.finance.sina.com.cn/corp/view/vCB_AllBulletinDetail.php?id=7836651&amp;stockid=835179&amp;utm_source=openai</w:t>
      </w:r>
    </w:p>
    <w:p>
      <w:pPr>
        <w:spacing w:after="200"/>
      </w:pPr>
      <w:r>
        <w:rPr>
          <w:i/>
          <w:iCs/>
          <w:color w:val="595959"/>
          <w:sz w:val="18"/>
          <w:szCs w:val="18"/>
        </w:rPr>
        <w:t xml:space="preserve">石英股份(603688)_公司公告_石英股份：2026年半年度报告新浪财经_新浪网 — https://money.finance.sina.com.cn/corp/view/vCB_AllBulletinDetail.php?id=12514650&amp;stockid=603688</w:t>
      </w:r>
    </w:p>
    <w:p>
      <w:pPr>
        <w:spacing w:after="200"/>
      </w:pPr>
      <w:r>
        <w:rPr>
          <w:i/>
          <w:iCs/>
          <w:color w:val="595959"/>
          <w:sz w:val="18"/>
          <w:szCs w:val="18"/>
        </w:rPr>
        <w:t xml:space="preserve">石英股份(603688) 盈利预测_F10_同花顺金融服务网 — https://basic.10jqka.com.cn/144/603688/worth.html</w:t>
      </w:r>
    </w:p>
    <w:p>
      <w:pPr>
        <w:spacing w:after="200"/>
      </w:pPr>
      <w:r>
        <w:rPr>
          <w:i/>
          <w:iCs/>
          <w:color w:val="595959"/>
          <w:sz w:val="18"/>
          <w:szCs w:val="18"/>
        </w:rPr>
        <w:t xml:space="preserve">石英股份(603688)最新业绩报告-爱金股网 — https://www.aijingu.com/yjbb/603688.html?utm_source=openai</w:t>
      </w:r>
    </w:p>
    <w:p>
      <w:pPr>
        <w:spacing w:after="200"/>
      </w:pPr>
      <w:r>
        <w:rPr>
          <w:i/>
          <w:iCs/>
          <w:color w:val="595959"/>
          <w:sz w:val="18"/>
          <w:szCs w:val="18"/>
        </w:rPr>
        <w:t xml:space="preserve">石英股份(603688) 盈利预测_F10_同花顺金融服务网 — https://basic.10jqka.com.cn/144/603688/worth.html?utm_source=openai</w:t>
      </w:r>
    </w:p>
    <w:p>
      <w:pPr>
        <w:spacing w:after="200"/>
      </w:pPr>
      <w:r>
        <w:rPr>
          <w:i/>
          <w:iCs/>
          <w:color w:val="595959"/>
          <w:sz w:val="18"/>
          <w:szCs w:val="18"/>
        </w:rPr>
        <w:t xml:space="preserve">机构投资评级-股票-新浪财经 — https://stock.finance.sina.com.cn/stock/go.php/vIR_StockSearch/key/603688.phtml</w:t>
      </w:r>
    </w:p>
    <w:p>
      <w:pPr>
        <w:spacing w:after="200"/>
      </w:pPr>
      <w:r>
        <w:rPr>
          <w:i/>
          <w:iCs/>
          <w:color w:val="595959"/>
          <w:sz w:val="18"/>
          <w:szCs w:val="18"/>
        </w:rPr>
        <w:t xml:space="preserve">石英股份(603688)股票最新价格行情,实时走势图,股价分析预测_英为财情Investing.com — https://cn.investing.com/equities/jiangsu-pacific-quartz-co-ltd?utm_source=openai</w:t>
      </w:r>
    </w:p>
    <w:p>
      <w:pPr>
        <w:spacing w:after="200"/>
      </w:pPr>
      <w:r>
        <w:rPr>
          <w:i/>
          <w:iCs/>
          <w:color w:val="595959"/>
          <w:sz w:val="18"/>
          <w:szCs w:val="18"/>
        </w:rPr>
        <w:t xml:space="preserve">石英股份(603688)股票历史数据:历史行情,价格,走势图表_英为财情Investing.com — https://cn.investing.com/equities/jiangsu-pacific-quartz-co-ltd-historical-data?utm_source=openai</w:t>
      </w:r>
    </w:p>
    <w:p>
      <w:pPr>
        <w:spacing w:after="200"/>
      </w:pPr>
      <w:r>
        <w:rPr>
          <w:i/>
          <w:iCs/>
          <w:color w:val="595959"/>
          <w:sz w:val="18"/>
          <w:szCs w:val="18"/>
        </w:rPr>
        <w:t xml:space="preserve">石英股份(603688)_股票行情，行情首页_中财网 — https://quote.cfi.cn/quote.aspx?stockid=17741&amp;utm_source=openai</w:t>
      </w:r>
    </w:p>
    <w:p>
      <w:pPr>
        <w:spacing w:after="200"/>
      </w:pPr>
      <w:r>
        <w:rPr>
          <w:i/>
          <w:iCs/>
          <w:color w:val="595959"/>
          <w:sz w:val="18"/>
          <w:szCs w:val="18"/>
        </w:rPr>
        <w:t xml:space="preserve">上海证券交易所主板上市公司列表 — https://zh.wikipedia.org/wiki/%E4%B8%8A%E6%B5%B7%E8%AF%81%E5%88%B8%E4%BA%A4%E6%98%93%E6%89%80%E4%B8%BB%E6%9D%BF%E4%B8%8A%E5%B8%82%E5%85%AC%E5%8F%B8%E5%88%97%E8%A1%A8?utm_source=openai</w:t>
      </w:r>
    </w:p>
    <w:p>
      <w:pPr>
        <w:spacing w:after="200"/>
      </w:pPr>
      <w:r>
        <w:rPr>
          <w:i/>
          <w:iCs/>
          <w:color w:val="595959"/>
          <w:sz w:val="18"/>
          <w:szCs w:val="18"/>
        </w:rPr>
        <w:t xml:space="preserve">石英股份：日前自主砂制备炉管高纯石英产品获国内DRAM IDM厂商认证 — https://www.yicai.com/news/103344792.html?utm_source=openai</w:t>
      </w:r>
    </w:p>
    <w:p>
      <w:pPr>
        <w:spacing w:after="200"/>
      </w:pPr>
      <w:r>
        <w:rPr>
          <w:i/>
          <w:iCs/>
          <w:color w:val="595959"/>
          <w:sz w:val="18"/>
          <w:szCs w:val="18"/>
        </w:rPr>
        <w:t xml:space="preserve">石英股份(603688)_股票行情_证券之星 — https://stock.quote.stockstar.com/603688.shtml?utm_source=openai</w:t>
      </w:r>
    </w:p>
    <w:p>
      <w:pPr>
        <w:spacing w:after="200"/>
      </w:pPr>
      <w:r>
        <w:rPr>
          <w:i/>
          <w:iCs/>
          <w:color w:val="595959"/>
          <w:sz w:val="18"/>
          <w:szCs w:val="18"/>
        </w:rPr>
        <w:t xml:space="preserve">石英股份(603688)_公司公告_石英股份：2026年半年度报告新浪财经_新浪网 — https://vip.stock.finance.sina.com.cn/corp/view/vCB_AllBulletinDetail.php?id=12514650&amp;stockid=603688&amp;utm_source=openai</w:t>
      </w:r>
    </w:p>
    <w:p>
      <w:pPr>
        <w:spacing w:after="200"/>
      </w:pPr>
      <w:r>
        <w:rPr>
          <w:i/>
          <w:iCs/>
          <w:color w:val="595959"/>
          <w:sz w:val="18"/>
          <w:szCs w:val="18"/>
        </w:rPr>
        <w:t xml:space="preserve">石英股份(603688)_公司公告_石英股份：关于2026年半年度计提资产减值准备的公告新浪财经_新浪网 — https://vip.stock.finance.sina.com.cn/corp/view/vCB_AllBulletinDetail.php?id=12514652&amp;stockid=603688&amp;utm_source=openai</w:t>
      </w:r>
    </w:p>
    <w:p>
      <w:pPr>
        <w:spacing w:after="200"/>
      </w:pPr>
      <w:r>
        <w:rPr>
          <w:i/>
          <w:iCs/>
          <w:color w:val="595959"/>
          <w:sz w:val="18"/>
          <w:szCs w:val="18"/>
        </w:rPr>
        <w:t xml:space="preserve">石英股份(603688)_公司公告_石英股份：关于2026年半年度业绩说明会召开情况的公告新浪财经_新浪网 — https://vip.stock.finance.sina.com.cn/corp/view/vCB_AllBulletinDetail.php?id=12534190&amp;stockid=603688&amp;utm_source=openai</w:t>
      </w:r>
    </w:p>
    <w:p>
      <w:pPr>
        <w:spacing w:after="200"/>
      </w:pPr>
      <w:r>
        <w:rPr>
          <w:i/>
          <w:iCs/>
          <w:color w:val="595959"/>
          <w:sz w:val="18"/>
          <w:szCs w:val="18"/>
        </w:rPr>
        <w:t xml:space="preserve">石英股份(603688)_公司公告_石英股份：关于第四期员工持股计划存续期即将届满的提示性公告新浪财经_新浪网 — https://vip.stock.finance.sina.com.cn/corp/view/vCB_AllBulletinDetail.php?id=12489692&amp;stockid=603688&amp;utm_source=openai</w:t>
      </w:r>
    </w:p>
    <w:p>
      <w:pPr>
        <w:spacing w:after="200"/>
      </w:pPr>
      <w:r>
        <w:rPr>
          <w:i/>
          <w:iCs/>
          <w:color w:val="595959"/>
          <w:sz w:val="18"/>
          <w:szCs w:val="18"/>
        </w:rPr>
        <w:t xml:space="preserve">证券代码：603688  证券简称：石英股份  公告编号：临2026-002 — https://static.cninfo.com.cn/finalpage/2026-01-14/1224931502.PDF?utm_source=openai</w:t>
      </w:r>
    </w:p>
    <w:p>
      <w:pPr>
        <w:spacing w:after="200"/>
      </w:pPr>
      <w:r>
        <w:rPr>
          <w:i/>
          <w:iCs/>
          <w:color w:val="595959"/>
          <w:sz w:val="18"/>
          <w:szCs w:val="18"/>
        </w:rPr>
        <w:t xml:space="preserve">石英股份十大流通股东格局生变：王兆英新进，社保基金602组合退出，罗宾木业增持，齐福才等减持_新浪财经_新浪网 — https://finance.sina.com.cn/stock/aiassist/sdltgdbh/2026-08-22/doc-inipeimv1237591.shtml?utm_source=openai</w:t>
      </w:r>
    </w:p>
    <w:p>
      <w:pPr>
        <w:spacing w:after="200"/>
      </w:pPr>
      <w:r>
        <w:rPr>
          <w:i/>
          <w:iCs/>
          <w:color w:val="595959"/>
          <w:sz w:val="18"/>
          <w:szCs w:val="18"/>
        </w:rPr>
        <w:t xml:space="preserve">石英股份(603688)-股本股东详细 — https://basic.10jqka.com.cn/mobile/603688/holder.html?utm_source=openai</w:t>
      </w:r>
    </w:p>
    <w:p>
      <w:pPr>
        <w:spacing w:after="200"/>
      </w:pPr>
      <w:r>
        <w:rPr>
          <w:i/>
          <w:iCs/>
          <w:color w:val="595959"/>
          <w:sz w:val="18"/>
          <w:szCs w:val="18"/>
        </w:rPr>
        <w:t xml:space="preserve">上海证券交易所
上证公监函〔2023〕0250 号
关于对江苏太平洋石英股份有限公司及其有关
责任人 — https://www.sse.com.cn/disclosure/credibility/supervision/measures/focus/c/10747943/files/cc091c1a3b2e4e7fbceb09804cb19345.pdf?utm_source=openai</w:t>
      </w:r>
    </w:p>
    <w:p>
      <w:pPr>
        <w:spacing w:after="200"/>
      </w:pPr>
      <w:r>
        <w:rPr>
          <w:i/>
          <w:iCs/>
          <w:color w:val="595959"/>
          <w:sz w:val="18"/>
          <w:szCs w:val="18"/>
        </w:rPr>
        <w:t xml:space="preserve">石英股份(603688)_公司公告_石英股份：2026年半年度报告摘要新浪财经_新浪网 — https://vip.stock.finance.sina.com.cn/corp/view/vCB_AllBulletinDetail.php?id=12514649&amp;stockid=603688</w:t>
      </w:r>
    </w:p>
    <w:p>
      <w:pPr>
        <w:spacing w:after="200"/>
      </w:pPr>
      <w:r>
        <w:rPr>
          <w:i/>
          <w:iCs/>
          <w:color w:val="595959"/>
          <w:sz w:val="18"/>
          <w:szCs w:val="18"/>
        </w:rPr>
        <w:t xml:space="preserve">石英股份 (603688) - 历史交易数据 | 打板客网 — https://dabanke.com/hangqing-603688.html</w:t>
      </w:r>
    </w:p>
    <w:p>
      <w:pPr>
        <w:spacing w:after="200"/>
      </w:pPr>
      <w:r>
        <w:rPr>
          <w:i/>
          <w:iCs/>
          <w:color w:val="595959"/>
          <w:sz w:val="18"/>
          <w:szCs w:val="18"/>
        </w:rPr>
        <w:t xml:space="preserve">石英股份(603688)股票行情走势技术分析_未来预测_买卖操作建议_英为财情Investing.com — https://cn.investing.com/equities/jiangsu-pacific-quartz-co-ltd-technical</w:t>
      </w:r>
    </w:p>
    <w:p>
      <w:pPr>
        <w:spacing w:after="200"/>
      </w:pPr>
      <w:r>
        <w:rPr>
          <w:i/>
          <w:iCs/>
          <w:color w:val="595959"/>
          <w:sz w:val="18"/>
          <w:szCs w:val="18"/>
        </w:rPr>
        <w:t xml:space="preserve">石英股份(603688)股票行情走势技术分析_未来预测_买卖操作建议_英为财情Investing.com — https://cn.investing.com/equities/jiangsu-pacific-quartz-co-ltd-technical?utm_source=openai</w:t>
      </w:r>
    </w:p>
    <w:p>
      <w:pPr>
        <w:spacing w:after="200"/>
      </w:pPr>
      <w:r>
        <w:rPr>
          <w:i/>
          <w:iCs/>
          <w:color w:val="595959"/>
          <w:sz w:val="18"/>
          <w:szCs w:val="18"/>
        </w:rPr>
        <w:t xml:space="preserve">石英股份(603688)_资金流向_证券之星 — https://stock.quote.stockstar.com/capital_603688.shtml?utm_source=openai</w:t>
      </w:r>
    </w:p>
    <w:p>
      <w:pPr>
        <w:spacing w:after="200"/>
      </w:pPr>
      <w:r>
        <w:rPr>
          <w:i/>
          <w:iCs/>
          <w:color w:val="595959"/>
          <w:sz w:val="18"/>
          <w:szCs w:val="18"/>
        </w:rPr>
        <w:t xml:space="preserve">石英股份(603688)个股资讯_新浪财经_新浪网 — https://money.finance.sina.com.cn/corp/go.php/vCB_AllNewsStock/symbol/sh603688.phtml?utm_source=openai</w:t>
      </w:r>
    </w:p>
    <w:p>
      <w:pPr>
        <w:spacing w:after="200"/>
      </w:pPr>
      <w:r>
        <w:rPr>
          <w:i/>
          <w:iCs/>
          <w:color w:val="595959"/>
          <w:sz w:val="18"/>
          <w:szCs w:val="18"/>
        </w:rPr>
        <w:t xml:space="preserve">本报告由AI基于公开渠道信息自动检索、整理并生成，信息截至 行情数据主要截至2026年9月11日收盘；MACD、RSI等部分技术指标采用2026年9月10日公开技术指标快照，股东结构数据截至2026年6月30日半年报，存在时滞。，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2026-09-13T14:15:05.945Z</dcterms:created>
  <dcterms:modified xsi:type="dcterms:W3CDTF">2026-09-13T14:15:05.945Z</dcterms:modified>
</cp:coreProperties>
</file>

<file path=docProps/custom.xml><?xml version="1.0" encoding="utf-8"?>
<Properties xmlns="http://schemas.openxmlformats.org/officeDocument/2006/custom-properties" xmlns:vt="http://schemas.openxmlformats.org/officeDocument/2006/docPropsVTypes"/>
</file>