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before="1600"/>
        <w:jc w:val="center"/>
      </w:pPr>
      <w:r>
        <w:rPr>
          <w:b/>
          <w:bCs/>
          <w:color w:val="1F4E79"/>
          <w:sz w:val="44"/>
          <w:szCs w:val="44"/>
        </w:rPr>
        <w:t xml:space="preserve">ST嘉澳 (603822)</w:t>
      </w:r>
    </w:p>
    <w:p>
      <w:pPr>
        <w:spacing w:after="200" w:before="200"/>
        <w:jc w:val="center"/>
      </w:pPr>
      <w:r>
        <w:rPr>
          <w:b/>
          <w:bCs/>
          <w:color w:val="2E74B5"/>
          <w:sz w:val="34"/>
          <w:szCs w:val="34"/>
        </w:rPr>
        <w:t xml:space="preserve">个股分析报告</w:t>
      </w:r>
    </w:p>
    <w:p>
      <w:pPr>
        <w:spacing w:before="600"/>
        <w:jc w:val="center"/>
      </w:pPr>
      <w:r>
        <w:rPr>
          <w:color w:val="595959"/>
          <w:sz w:val="22"/>
          <w:szCs w:val="22"/>
        </w:rPr>
        <w:t xml:space="preserve">行业：生物航煤/生物柴油+环保增塑剂</w:t>
      </w:r>
    </w:p>
    <w:p>
      <w:pPr>
        <w:jc w:val="center"/>
      </w:pPr>
      <w:r>
        <w:rPr>
          <w:color w:val="595959"/>
          <w:sz w:val="22"/>
          <w:szCs w:val="22"/>
        </w:rPr>
        <w:t xml:space="preserve">报告日期：2026年10月28日</w:t>
      </w:r>
    </w:p>
    <w:p>
      <w:pPr>
        <w:jc w:val="center"/>
      </w:pPr>
      <w:r>
        <w:rPr>
          <w:color w:val="595959"/>
          <w:sz w:val="20"/>
          <w:szCs w:val="20"/>
        </w:rPr>
        <w:t xml:space="preserve">行情截至2026-10-27收盘</w:t>
      </w:r>
    </w:p>
    <w:p>
      <w:pPr>
        <w:spacing w:before="800"/>
        <w:jc w:val="center"/>
      </w:pPr>
      <w:r>
        <w:rPr>
          <w:i/>
          <w:iCs/>
          <w:color w:val="595959"/>
          <w:sz w:val="18"/>
          <w:szCs w:val="18"/>
        </w:rPr>
        <w:t xml:space="preserve">本报告基于公开信息由AI自动整理生成，仅供参考，不构成投资建议</w:t>
      </w:r>
    </w:p>
    <w:p>
      <w:r>
        <w:br w:type="page"/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核心结论：SAF放量驱动Q3单季扭亏2.14亿，但少数股东分走六成利润且PB高企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00"/>
        <w:gridCol w:w="6700"/>
      </w:tblGrid>
      <w:tr>
        <w:trPr>
          <w:tblHeader/>
        </w:trPr>
        <w:tc>
          <w:tcPr>
            <w:tcW w:type="dxa" w:w="3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关键数据</w:t>
            </w:r>
          </w:p>
        </w:tc>
        <w:tc>
          <w:tcPr>
            <w:tcW w:type="dxa" w:w="6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收盘价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62.26元（-7.69%）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总市值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约47.83亿元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14.16倍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7.14倍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52周区间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51.06～124.31元</w:t>
            </w:r>
          </w:p>
        </w:tc>
      </w:tr>
      <w:tr>
        <w:tc>
          <w:tcPr>
            <w:tcW w:type="dxa" w:w="3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成交额</w:t>
            </w:r>
          </w:p>
        </w:tc>
        <w:tc>
          <w:tcPr>
            <w:tcW w:type="dxa" w:w="6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0.59~1.79亿元（近10日）</w:t>
            </w:r>
          </w:p>
        </w:tc>
      </w:tr>
      <w:tr>
        <w:tc>
          <w:tcPr>
            <w:tcW w:type="dxa" w:w="3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换手率</w:t>
            </w:r>
          </w:p>
        </w:tc>
        <w:tc>
          <w:tcPr>
            <w:tcW w:type="dxa" w:w="6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1.13%~3.35%（近10日）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行情数据截至：2026-10-27收盘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一、投资要点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盈利拐点已现但归母被稀释</w:t>
      </w:r>
      <w:r>
        <w:rPr>
          <w:sz w:val="22"/>
          <w:szCs w:val="22"/>
        </w:rPr>
        <w:t xml:space="preserve">：2026前三季度归母2.81亿元扭亏，Q3单季2.14亿元环比+91.8%，毛利率27.07%；少数股东损益4.07亿元占合并净利六成以上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增长靠SAF价差与产能爬坡</w:t>
      </w:r>
      <w:r>
        <w:rPr>
          <w:sz w:val="22"/>
          <w:szCs w:val="22"/>
        </w:rPr>
        <w:t xml:space="preserve">：2025年生物质能源收入+892%、毛利率19.89%，Q3产品均价+26.95%快于原料；连云港二期在建，前五客户占83%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PE处低位但PB与同业背离</w:t>
      </w:r>
      <w:r>
        <w:rPr>
          <w:sz w:val="22"/>
          <w:szCs w:val="22"/>
        </w:rPr>
        <w:t xml:space="preserve">：PE(TTM)14.16倍、近5.2年0%分位；PB 7.14倍、71%分位，同业PB仅1.25-1.59倍；现价62.26元、市值47.83亿元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市场预期与证据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市场在定价</w:t>
      </w:r>
      <w:r>
        <w:rPr>
          <w:sz w:val="22"/>
          <w:szCs w:val="22"/>
        </w:rPr>
        <w:t xml:space="preserve">：一致预期2026年净利4.98亿元、2027年8.13亿元，隐含PE约9.6倍；价格隐含10年EPS年均增长7.4%，与机构短期预测期限指标不同不可直接比较。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证据显示</w:t>
      </w:r>
      <w:r>
        <w:rPr>
          <w:sz w:val="22"/>
          <w:szCs w:val="22"/>
        </w:rPr>
        <w:t xml:space="preserve">：前三季度归母2.81亿元已达全年一致预期的56%，Q3毛利率30.41%超2025年全年；但少数股东分走六成利润、前五客户占83%，归母能否兑现4.98亿元仍待Q4无减值验证。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证据倾向：偏多；置信度：中（部分财务字段仍缺官方核验或披露日期）</w:t>
      </w:r>
    </w:p>
    <w:p>
      <w:pPr>
        <w:spacing w:after="160" w:line="300"/>
      </w:pPr>
      <w:r>
        <w:rPr>
          <w:sz w:val="22"/>
          <w:szCs w:val="22"/>
        </w:rPr>
        <w:t xml:space="preserve">业绩拐点与毛利率抬升方向明确，PE分位低，但少数股东分流、客户集中与PB高企限制置信度。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二、生意与竞争力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2.1 业务结构</w:t>
      </w:r>
    </w:p>
    <w:p>
      <w:pPr>
        <w:spacing w:after="160" w:line="300"/>
      </w:pPr>
      <w:r>
        <w:rPr>
          <w:sz w:val="22"/>
          <w:szCs w:val="22"/>
        </w:rPr>
        <w:t xml:space="preserve">外购废弃油脂加工成生物柴油与生物航煤，凭白名单与认证出口国际油商/航司，赚加工价差与政策溢价。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1400"/>
        <w:gridCol w:w="1300"/>
        <w:gridCol w:w="1400"/>
        <w:gridCol w:w="3800"/>
      </w:tblGrid>
      <w:tr>
        <w:trPr>
          <w:tblHeader/>
        </w:trPr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业务板块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收入占比</w:t>
            </w:r>
          </w:p>
        </w:tc>
        <w:tc>
          <w:tcPr>
            <w:tcW w:type="dxa" w:w="1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收入增速</w:t>
            </w:r>
          </w:p>
        </w:tc>
        <w:tc>
          <w:tcPr>
            <w:tcW w:type="dxa" w:w="3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要点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生物质能源（生物柴油/生物航煤SAF）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85.17%（2025年）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19.89%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+892%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白名单出口放量，均价+86.41%，占毛利99%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环保增塑剂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13.46%（2025年）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-1.47%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-15.2%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产能过剩、价格战，毛利转负</w:t>
            </w:r>
          </w:p>
        </w:tc>
      </w:tr>
      <w:tr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环保稳定剂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1.08%（2025年）</w:t>
            </w:r>
          </w:p>
        </w:tc>
        <w:tc>
          <w:tcPr>
            <w:tcW w:type="dxa" w:w="1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22.07%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-1.4%</w:t>
            </w:r>
          </w:p>
        </w:tc>
        <w:tc>
          <w:tcPr>
            <w:tcW w:type="dxa" w:w="3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体量小、毛利尚可</w:t>
            </w:r>
          </w:p>
        </w:tc>
      </w:tr>
      <w:tr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其他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0.29%（2025年）</w:t>
            </w:r>
          </w:p>
        </w:tc>
        <w:tc>
          <w:tcPr>
            <w:tcW w:type="dxa" w:w="1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19.60%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3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占比极小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2.2 竞争优势</w:t>
      </w:r>
    </w:p>
    <w:p>
      <w:pPr>
        <w:spacing w:after="160" w:line="300"/>
      </w:pPr>
      <w:r>
        <w:rPr>
          <w:b/>
          <w:bCs/>
          <w:color w:val="1F4E79"/>
          <w:sz w:val="22"/>
          <w:szCs w:val="22"/>
        </w:rPr>
        <w:t xml:space="preserve">竞争优势强度：弱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牌照/认证：已获ISCC、DDC及生物航煤适航批准，2025年取得生物航油白名单出口许可，当年生物质能源收入由4.15亿增至41.15亿元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规模/一体化：连云港50万吨/年UCO转化项目一期投产、二期在建，子公司生物柴油产能约30万吨/年，贯通UCO→柴油→SAF链条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股东绑定：BP于2024年增资连云港嘉澳至约15%股权，2025年引入中国航油</w:t>
      </w:r>
    </w:p>
    <w:p>
      <w:pPr>
        <w:spacing w:after="160" w:line="300"/>
      </w:pPr>
      <w:r>
        <w:rPr>
          <w:sz w:val="22"/>
          <w:szCs w:val="22"/>
        </w:rPr>
        <w:t xml:space="preserve">主要威胁：欧盟若将贸易救济延伸至SAF或收紧UCO溯源，叠加前五客户占83%的买方议价与两次信披违规被ST的信誉折价。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2.3 产业链位置与盈利趋势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主料废动植物油（UCO）2025年均价6,847元/吨、同比+14.47%，直接材料占生物质能源成本67.56%；价格随国际油脂与生物燃料政策波动，公司无定价权。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前五大供应商仅占采购20.16%，UCO收储/贸易商高度分散；增塑剂原料辛醇2025年均价同比-31.08%，原料红利被下游降价让出。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SAF出口谈判对手为少数国际油商/航司/贸易商，价格公式化与年降风险高于增塑剂业务。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增塑剂面对约2,000家塑料制品客户，行业过剩、同质化，2025年均价-6.24%仍只能维持-1.47%毛利，属价格接受者。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2025年前五大客户合计销售40.15亿元、占营收83.11%（截至2025-12-31，客户名称未公开披露），议价权明显在买方。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2025年末应收账款2.78亿元、仅占营收5.8%，回款条件较好；但产量41.36万吨高于销量30.78万吨，库存累积占用资金；财务费用1.42亿元为归母净利4.5倍，营运资金实际靠银行与少数股东提供。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800"/>
        <w:gridCol w:w="1800"/>
        <w:gridCol w:w="48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净利率</w:t>
            </w:r>
          </w:p>
        </w:tc>
        <w:tc>
          <w:tcPr>
            <w:tcW w:type="dxa" w:w="4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变动原因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2022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归母亏损约-0.32亿元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增塑剂下游萎缩、原料高位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2023（追溯调整后）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约5.8%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-0.28%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欧盟反倾销预期压价，生物质均价-22.64%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-4.94%</w:t>
            </w:r>
          </w:p>
        </w:tc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-28.81%</w:t>
            </w:r>
          </w:p>
        </w:tc>
        <w:tc>
          <w:tcPr>
            <w:tcW w:type="dxa" w:w="4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反倾销落地，销量-73.44%，单吨制造费用+55.81%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17.04%</w:t>
            </w:r>
          </w:p>
        </w:tc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0.65%</w:t>
            </w:r>
          </w:p>
        </w:tc>
        <w:tc>
          <w:tcPr>
            <w:tcW w:type="dxa" w:w="4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SAF白名单放量，均价+86.41%覆盖UCO成本+14.47%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处微笑曲线中游加工段：不掌握UCO资源、前五客户占83%亦无终端品牌，利润来自白名单准入+重资产产能+产品切换到SAF的阶段性价差。毛利率能否续升取决于SAF-UCO价差维持、连云港二期爬坡与配额、客户结构分散化三点。2022年合并毛利率未取得可靠口径故填—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2.4 行业与同行对比</w:t>
      </w:r>
    </w:p>
    <w:p>
      <w:pPr>
        <w:spacing w:after="160" w:line="300"/>
      </w:pPr>
      <w:r>
        <w:rPr>
          <w:sz w:val="22"/>
          <w:szCs w:val="22"/>
        </w:rPr>
        <w:t xml:space="preserve">SAF需求由欧盟ReFuelEU（2025年2%、2030年6%）等强制掺混政策创造而非自然需求；国内出口需白名单行政准入，竞争焦点已从产能转向UCO收储网络、认证资格与海外长约。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300"/>
        <w:gridCol w:w="2600"/>
        <w:gridCol w:w="29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公司</w:t>
            </w:r>
          </w:p>
        </w:tc>
        <w:tc>
          <w:tcPr>
            <w:tcW w:type="dxa" w:w="23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定位</w:t>
            </w:r>
          </w:p>
        </w:tc>
        <w:tc>
          <w:tcPr>
            <w:tcW w:type="dxa" w:w="2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可比数据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与本公司差异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ST嘉澳（603822）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UCO→SAF/生物柴油+环保增塑剂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2025年营收48.31亿元、归母净利0.31亿元、综合毛利率17.04%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白名单先发但客户高度集中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海新能科（300072）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生物柴油/生物能源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生物质能源毛利率：2024年-10.28%、2023年8.50%、2022年17.76%；PE(TTM) 亏损，不适用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无白名单放量，生物质板块持续亏损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建业股份（603948）</w:t>
            </w:r>
          </w:p>
        </w:tc>
        <w:tc>
          <w:tcPr>
            <w:tcW w:type="dxa" w:w="23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环保增塑剂</w:t>
            </w:r>
          </w:p>
        </w:tc>
        <w:tc>
          <w:tcPr>
            <w:tcW w:type="dxa" w:w="2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环保增塑剂毛利率：2024年-0.52%、2023年2.39%、2022年3.69%；PE(TTM) 20.69倍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增塑剂毛利高于嘉澳，但无SAF业务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卓越新能（688196）</w:t>
            </w:r>
          </w:p>
        </w:tc>
        <w:tc>
          <w:tcPr>
            <w:tcW w:type="dxa" w:w="23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生物柴油/SAF龙头</w:t>
            </w:r>
          </w:p>
        </w:tc>
        <w:tc>
          <w:tcPr>
            <w:tcW w:type="dxa" w:w="2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 73.18倍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规模龙头，嘉澳仅为细分牌照先发者</w:t>
            </w:r>
          </w:p>
        </w:tc>
      </w:tr>
    </w:tbl>
    <w:p>
      <w:pPr>
        <w:spacing w:before="200"/>
      </w:pPr>
    </w:p>
    <w:p>
      <w:pPr>
        <w:spacing w:after="160" w:line="300"/>
      </w:pPr>
      <w:r>
        <w:rPr>
          <w:sz w:val="22"/>
          <w:szCs w:val="22"/>
        </w:rPr>
        <w:t xml:space="preserve">核心优势是白名单与ISCC/适航认证的先发卡位，2025年生物质能源毛利率19.89%高于海新能科同类板块；短板是规模不及卓越新能等专业厂商、增塑剂毛利低于建业股份，且前五客户占83%远高于同行，议价与政策敞口更集中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三、财务质量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3.1 经营业绩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1600"/>
        <w:gridCol w:w="1100"/>
        <w:gridCol w:w="1600"/>
        <w:gridCol w:w="1100"/>
        <w:gridCol w:w="1400"/>
        <w:gridCol w:w="16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报告期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同比</w:t>
            </w:r>
          </w:p>
        </w:tc>
        <w:tc>
          <w:tcPr>
            <w:tcW w:type="dxa" w:w="1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扣非同比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毛利率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2026三季报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46.90亿元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+56.08%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2.81亿元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+1208.16%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+1157.85%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27.07%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2025年报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48.31亿元人民币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+279.33%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0.31亿元人民币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+108.54%</w:t>
            </w:r>
          </w:p>
        </w:tc>
        <w:tc>
          <w:tcPr>
            <w:tcW w:type="dxa" w:w="1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+107.87%</w:t>
            </w:r>
          </w:p>
        </w:tc>
        <w:tc>
          <w:tcPr>
            <w:tcW w:type="dxa" w:w="16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17.04%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2024年报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12.74亿元人民币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-52.23%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-3.67亿元人民币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-4766.43%</w:t>
            </w:r>
          </w:p>
        </w:tc>
        <w:tc>
          <w:tcPr>
            <w:tcW w:type="dxa" w:w="1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-2530.08%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-4.94%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营业收入与归母净利润按同期间官方报表及明确币种列示；调整后盈利与法定利润分别比较。表中营业收入、归母净利润共6项，6项与发行人定期报告原文逐项比对一致。同比增速按原文本期、上期数推算了6项，6项与表中一致。</w:t>
      </w:r>
    </w:p>
    <w:p>
      <w:pPr>
        <w:spacing w:after="160" w:line="300"/>
      </w:pPr>
      <w:r>
        <w:rPr>
          <w:sz w:val="22"/>
          <w:szCs w:val="22"/>
        </w:rPr>
        <w:t xml:space="preserve">2026前三季度营收同比增56%、归母净利2.81亿元扭亏，毛利率由2025年17%升至27.07%，单季归母净利2.14亿元环比增91.8%；第三季度单季扣非2.14亿元，与单季归母基本一致，业绩增长主因生物质能源收入大幅增加。少数股东损益4.07亿元占合并净利六成以上，归母仅体现四成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3.2 财务健康检查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000"/>
        <w:gridCol w:w="1100"/>
        <w:gridCol w:w="44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1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判断</w:t>
            </w:r>
          </w:p>
        </w:tc>
        <w:tc>
          <w:tcPr>
            <w:tcW w:type="dxa" w:w="4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资产负债率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72.54%（2026三季报）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有息负债率52.14%，速动比率0.59，偿债依赖经营现金流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经营现金流/净利润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1.76倍（2026三季报）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前三季度经营现金流12.09亿元，回款改善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加权ROE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53.32%（2026三季报）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高杠杆叠加净利率提升推动，但归母净资产仅6.70亿元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应收账款周转天数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18.0天（2026三季报）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良好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应收周转快，回款及时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存货周转天数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102.7天（2026三季报）</w:t>
            </w:r>
          </w:p>
        </w:tc>
        <w:tc>
          <w:tcPr>
            <w:tcW w:type="dxa" w:w="1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一般</w:t>
            </w:r>
          </w:p>
        </w:tc>
        <w:tc>
          <w:tcPr>
            <w:tcW w:type="dxa" w:w="4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存货余额15.41亿元，备货规模偏高占用资金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有息负债率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52.14%（2026三季报）</w:t>
            </w:r>
          </w:p>
        </w:tc>
        <w:tc>
          <w:tcPr>
            <w:tcW w:type="dxa" w:w="1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关注</w:t>
            </w:r>
          </w:p>
        </w:tc>
        <w:tc>
          <w:tcPr>
            <w:tcW w:type="dxa" w:w="4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利息保障倍数6.6倍，财务费用压力仍存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四、估值与市场预期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4.1 估值水平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000"/>
        <w:gridCol w:w="2900"/>
        <w:gridCol w:w="28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自身历史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同行对比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PE(TTM)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14.16倍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近5.2年0%分位（中位数43.58倍）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中位数46.94倍（建业股份20.69、卓越新能73.18）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PB(MRQ)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7.14倍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近5.2年71%分位（中位数3.82倍）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中位数1.41倍（海新能科1.59、建业股份1.41、卓越新能1.25）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PS(TTM)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0.73倍</w:t>
            </w:r>
          </w:p>
        </w:tc>
        <w:tc>
          <w:tcPr>
            <w:tcW w:type="dxa" w:w="2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近5.2年20%分位（中位数1.46倍）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中位数1.42倍（海新能科2.06、建业股份1.42、卓越新能1.30）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股息率</w:t>
            </w:r>
          </w:p>
        </w:tc>
        <w:tc>
          <w:tcPr>
            <w:tcW w:type="dxa" w:w="2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0.19%</w:t>
            </w:r>
          </w:p>
        </w:tc>
        <w:tc>
          <w:tcPr>
            <w:tcW w:type="dxa" w:w="2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—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估值倍数由程序按2026-10-27收盘数据计算（滚动十二个月口径）；同行倍数按2026-10-27收盘数据同口径计算</w:t>
      </w:r>
    </w:p>
    <w:p>
      <w:pPr>
        <w:spacing w:after="160" w:line="300"/>
      </w:pPr>
      <w:r>
        <w:rPr>
          <w:sz w:val="22"/>
          <w:szCs w:val="22"/>
        </w:rPr>
        <w:t xml:space="preserve">市场隐含预期：以当前14.16倍市盈率计，若投资者要求年化8%的回报、10年后按15倍市盈率估值，每股收益需年均增长约7.4%（不计分红，偏保守），短期机构净利润预测与该长期每股收益增速的期限及口径不同，不能直接比较高低。</w:t>
      </w:r>
    </w:p>
    <w:p>
      <w:pPr>
        <w:spacing w:after="160" w:line="300"/>
      </w:pPr>
      <w:r>
        <w:rPr>
          <w:sz w:val="22"/>
          <w:szCs w:val="22"/>
        </w:rPr>
        <w:t xml:space="preserve">PE(TTM)14.16倍处近5.2年0%分位，看似便宜，但源于2025年归母仅0.31亿元的低基数；按2026年一致预期净利4.98亿元对应PE约9.6倍，PB 7.14倍却处71%分位、远高于同业1.25-1.59倍。价格隐含10年EPS年均增长7.4%，与机构短期预测期限口径不同，不能直接比较高低；估值已计入高增长，PB暴露净资产仅6.70亿元的杠杆与摊薄风险。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4.2 一致预期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2400"/>
        <w:gridCol w:w="2200"/>
        <w:gridCol w:w="1900"/>
        <w:gridCol w:w="1900"/>
      </w:tblGrid>
      <w:tr>
        <w:trPr>
          <w:tblHeader/>
        </w:trPr>
        <w:tc>
          <w:tcPr>
            <w:tcW w:type="dxa" w:w="1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年度</w:t>
            </w:r>
          </w:p>
        </w:tc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营业收入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归母净利润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净利润增速</w:t>
            </w:r>
          </w:p>
        </w:tc>
        <w:tc>
          <w:tcPr>
            <w:tcW w:type="dxa" w:w="1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每股收益(EPS)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70.97亿元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4.98亿元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+1488.6%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6.48元</w:t>
            </w:r>
          </w:p>
        </w:tc>
      </w:tr>
      <w:tr>
        <w:tc>
          <w:tcPr>
            <w:tcW w:type="dxa" w:w="1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2027E</w:t>
            </w:r>
          </w:p>
        </w:tc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82.66亿元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8.13亿元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+63.3%</w:t>
            </w:r>
          </w:p>
        </w:tc>
        <w:tc>
          <w:tcPr>
            <w:tcW w:type="dxa" w:w="1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10.58元</w:t>
            </w:r>
          </w:p>
        </w:tc>
      </w:tr>
      <w:tr>
        <w:tc>
          <w:tcPr>
            <w:tcW w:type="dxa" w:w="1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2028E</w:t>
            </w:r>
          </w:p>
        </w:tc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121.54亿元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14.57亿元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+79.2%</w:t>
            </w:r>
          </w:p>
        </w:tc>
        <w:tc>
          <w:tcPr>
            <w:tcW w:type="dxa" w:w="1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18.96元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近六个月研报汇总，截至2026-10-28。可见机构研报明细，评级人数另计：2026E净利润样本数未披露、EPS样本数未披露；2027E净利润样本数未披露、EPS样本数未披露；2028E净利润样本数未披露、EPS样本数未披露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4.3 机构观点</w:t>
      </w:r>
    </w:p>
    <w:p>
      <w:pPr>
        <w:spacing w:after="160" w:line="300"/>
      </w:pPr>
      <w:r>
        <w:rPr>
          <w:sz w:val="22"/>
          <w:szCs w:val="22"/>
        </w:rPr>
        <w:t xml:space="preserve">暂无可引用的机构目标价。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1600"/>
        <w:gridCol w:w="2000"/>
        <w:gridCol w:w="39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机构</w:t>
            </w:r>
          </w:p>
        </w:tc>
        <w:tc>
          <w:tcPr>
            <w:tcW w:type="dxa" w:w="16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评级</w:t>
            </w:r>
          </w:p>
        </w:tc>
        <w:tc>
          <w:tcPr>
            <w:tcW w:type="dxa" w:w="2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日期</w:t>
            </w:r>
          </w:p>
        </w:tc>
        <w:tc>
          <w:tcPr>
            <w:tcW w:type="dxa" w:w="3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备注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近六月覆盖机构（1家）</w:t>
            </w:r>
          </w:p>
        </w:tc>
        <w:tc>
          <w:tcPr>
            <w:tcW w:type="dxa" w:w="16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买入</w:t>
            </w:r>
          </w:p>
        </w:tc>
        <w:tc>
          <w:tcPr>
            <w:tcW w:type="dxa" w:w="2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2026-10-28前六个月内</w:t>
            </w:r>
          </w:p>
        </w:tc>
        <w:tc>
          <w:tcPr>
            <w:tcW w:type="dxa" w:w="3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无目标价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五、催化剂与近期事件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5.1 未来关键节点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000"/>
        <w:gridCol w:w="47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时间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事件</w:t>
            </w:r>
          </w:p>
        </w:tc>
        <w:tc>
          <w:tcPr>
            <w:tcW w:type="dxa" w:w="4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看点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2027-01-31前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2026年年度业绩预告（如触及预告标准）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前三季度归母已达2.81亿元，看Q4是否大额减值；若全年同比大幅增长且无减值，则确认盈利趋势。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2027年3-4月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2026年年度报告披露（预约披露日待公布）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看全年生物质能源销量与均价、毛利率能否维持Q3的30%以上，以及审计意见类型、对处罚事项的披露。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2027年上半年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撤销其他风险警示（摘帽）申请窗口</w:t>
            </w:r>
          </w:p>
        </w:tc>
        <w:tc>
          <w:tcPr>
            <w:tcW w:type="dxa" w:w="4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需正式行政处罚决定书作出满12个月、差错更正完成且无其他风险警示情形；正式决定书日期未公告，申请时点可能后移。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2027-04-22前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可转债注册批复有效期届满，关注是否启动发行</w:t>
            </w:r>
          </w:p>
        </w:tc>
        <w:tc>
          <w:tcPr>
            <w:tcW w:type="dxa" w:w="4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若启动发行，看发行规模与初始转股价对股本的摊薄；若因ST状态终止，则消除一个压制因素。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5.2 近期重要事件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2026-10-23 三季报业绩大幅扭亏，单季盈利超上半年总和（利好）</w:t>
      </w:r>
      <w:r>
        <w:rPr>
          <w:sz w:val="22"/>
          <w:szCs w:val="22"/>
        </w:rPr>
        <w:t xml:space="preserve">：前三季度归母净利2.81亿元、扣非2.85亿元，同比扭亏；Q3单季归母净利2.14亿元，环比增约92%，单季毛利率30.41%。生物质能源收入大增是主因，Q3该产品均价同比+26.95%而原料涨幅更小，产品涨价幅度大于原料涨价幅度带来利润弹性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2026-10 为连云港嘉澳3亿元借款提供连带责任担保（利空）</w:t>
      </w:r>
      <w:r>
        <w:rPr>
          <w:sz w:val="22"/>
          <w:szCs w:val="22"/>
        </w:rPr>
        <w:t xml:space="preserve">：公司为控股子公司连云港嘉澳新能源3亿元、期限1年借款提供连带责任保证，有反担保。对外担保总额60.81亿元，占最近一期经审计净资产389.54%，公告自身勾选特别风险提示。子公司层面BP持股13.50%、中国航油持股10.00%。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六、多空分歧与风险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6.1 看多理由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Q3单季归母2.14亿元环比+91.8%，毛利率升至27.07%，价差扩张驱动盈利加速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2025年生物质能源收入+892%，白名单与ISCC/适航认证先发，同行海新能科同类板块仍亏损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2026年一致预期净利4.98亿元对应PE约9.6倍，低于建业股份20.69倍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6.2 看空理由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少数股东损益4.07亿元占合并净利六成以上，归母仅体现四成，利润归属被稀释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前五客户占营收83.11%，SAF出口议价权在买方，价格公式化与年降风险高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PB 7.14倍处71%分位，同业仅1.25-1.59倍，净资产6.70亿元放大杠杆与摊薄敏感度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6.3 其他风险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欧盟若将贸易救济延伸至SAF或收紧UCO溯源→出口量与价差收缩，直接压缩生物质能源毛利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对外担保总额60.81亿元占净资产389.54%→子公司若还款承压，代偿将侵蚀利润与净资产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有息负债率52.14%、速动比率0.59→利率或融资环境变化推高财务费用，放大归母波动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sz w:val="22"/>
          <w:szCs w:val="22"/>
        </w:rPr>
        <w:t xml:space="preserve">可转债注册批复2027-04-22到期→若启动发行，转股摊薄股本与每股收益</w:t>
      </w: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七、跟踪清单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100"/>
        <w:gridCol w:w="2200"/>
        <w:gridCol w:w="2800"/>
        <w:gridCol w:w="2800"/>
      </w:tblGrid>
      <w:tr>
        <w:trPr>
          <w:tblHeader/>
        </w:trPr>
        <w:tc>
          <w:tcPr>
            <w:tcW w:type="dxa" w:w="21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跟踪指标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当前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验证看多</w:t>
            </w:r>
          </w:p>
        </w:tc>
        <w:tc>
          <w:tcPr>
            <w:tcW w:type="dxa" w:w="2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验证看空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单季毛利率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Q3单季30.41%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Q4及2027Q1维持30%以上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回落至25%以下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归母占合并净利比重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前三季度约四成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全年回升至五成以上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继续低于四成</w:t>
            </w:r>
          </w:p>
        </w:tc>
      </w:tr>
      <w:tr>
        <w:tc>
          <w:tcPr>
            <w:tcW w:type="dxa" w:w="21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前五大客户占比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2025年83.11%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2026年报降至75%以下</w:t>
            </w:r>
          </w:p>
        </w:tc>
        <w:tc>
          <w:tcPr>
            <w:tcW w:type="dxa" w:w="2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维持83%以上或上升</w:t>
            </w:r>
          </w:p>
        </w:tc>
      </w:tr>
      <w:tr>
        <w:tc>
          <w:tcPr>
            <w:tcW w:type="dxa" w:w="21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摘帽申请进度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正式处罚决定书日期未公告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2027年内提交并获受理</w:t>
            </w:r>
          </w:p>
        </w:tc>
        <w:tc>
          <w:tcPr>
            <w:tcW w:type="dxa" w:w="2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因其他风险警示情形延后</w:t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1F4E79" w:sz="6" w:space="4"/>
        </w:pBdr>
        <w:spacing w:after="160" w:before="360"/>
      </w:pPr>
      <w:r>
        <w:rPr>
          <w:b/>
          <w:bCs/>
          <w:color w:val="1F4E79"/>
          <w:sz w:val="30"/>
          <w:szCs w:val="30"/>
        </w:rPr>
        <w:t xml:space="preserve">八、股价与短线展望（未来一周，情景推演，仅供参考）</w:t>
      </w:r>
    </w:p>
    <w:p>
      <w:pPr>
        <w:spacing w:after="160"/>
      </w:pPr>
      <w:r>
        <w:rPr>
          <w:b/>
          <w:bCs/>
          <w:color w:val="9C5700"/>
          <w:sz w:val="20"/>
          <w:szCs w:val="20"/>
        </w:rPr>
        <w:t xml:space="preserve">⚠️ 风险提示：以下为基于现有技术面与资金面数据的主观情景推演，不构成投资建议。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8.1 技术面概况</w:t>
      </w:r>
    </w:p>
    <w:p>
      <w:pPr>
        <w:spacing w:after="160" w:line="300"/>
      </w:pPr>
      <w:r>
        <w:rPr>
          <w:sz w:val="22"/>
          <w:szCs w:val="22"/>
        </w:rPr>
        <w:t xml:space="preserve">三季报扭亏的利好已被一根-7.69%的放量长阴反噬，价格跌穿MA60与布林中轨，MACD柱加速走弱，短线形态转弱。但RSI6已至25.9的超卖区，且股价距布林下轨60.01元仅约2元，继续下探后存在技术性反抽需求。关键在62.5元一线的MA60能否快速收复。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000"/>
        <w:gridCol w:w="4500"/>
      </w:tblGrid>
      <w:tr>
        <w:trPr>
          <w:tblHeader/>
        </w:trPr>
        <w:tc>
          <w:tcPr>
            <w:tcW w:type="dxa" w:w="24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指标</w:t>
            </w:r>
          </w:p>
        </w:tc>
        <w:tc>
          <w:tcPr>
            <w:tcW w:type="dxa" w:w="3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数值</w:t>
            </w:r>
          </w:p>
        </w:tc>
        <w:tc>
          <w:tcPr>
            <w:tcW w:type="dxa" w:w="45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解读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均线结构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MA5 68.96 / MA10 69.19 / MA20 67.23 / MA60 62.51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收盘已跌破MA60，短期均线全部位于价格上方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MACD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DIF 1.194 / DEA 1.796 / 柱 -1.204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柱状线由-0.146快速走弱，死叉后动能加速向下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RSI6 25.9 / RSI14 40.6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短线进入超卖区，但中期指标仍处中轴下方</w:t>
            </w:r>
          </w:p>
        </w:tc>
      </w:tr>
      <w:tr>
        <w:tc>
          <w:tcPr>
            <w:tcW w:type="dxa" w:w="24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布林带(20,2)</w:t>
            </w:r>
          </w:p>
        </w:tc>
        <w:tc>
          <w:tcPr>
            <w:tcW w:type="dxa" w:w="3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上轨 74.45 / 中轨 67.23 / 下轨 60.01</w:t>
            </w:r>
          </w:p>
        </w:tc>
        <w:tc>
          <w:tcPr>
            <w:tcW w:type="dxa" w:w="45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价格逼近下轨，中轨转为上方压力</w:t>
            </w:r>
          </w:p>
        </w:tc>
      </w:tr>
      <w:tr>
        <w:tc>
          <w:tcPr>
            <w:tcW w:type="dxa" w:w="24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量能</w:t>
            </w:r>
          </w:p>
        </w:tc>
        <w:tc>
          <w:tcPr>
            <w:tcW w:type="dxa" w:w="3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最新一日为近20日均量的1.5倍</w:t>
            </w:r>
          </w:p>
        </w:tc>
        <w:tc>
          <w:tcPr>
            <w:tcW w:type="dxa" w:w="45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放量下跌，抛压释放尚未结束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8.2 关键价位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800"/>
        <w:gridCol w:w="2200"/>
        <w:gridCol w:w="5900"/>
      </w:tblGrid>
      <w:tr>
        <w:trPr>
          <w:tblHeader/>
        </w:trPr>
        <w:tc>
          <w:tcPr>
            <w:tcW w:type="dxa" w:w="18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位置</w:t>
            </w:r>
          </w:p>
        </w:tc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区间</w:t>
            </w:r>
          </w:p>
        </w:tc>
        <w:tc>
          <w:tcPr>
            <w:tcW w:type="dxa" w:w="59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说明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短期压力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67.2~69.2元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布林中轨67.23元与MA5/MA10（68.96/69.19元）重合区，收复前反弹空间受限</w:t>
            </w:r>
          </w:p>
        </w:tc>
      </w:tr>
      <w:tr>
        <w:tc>
          <w:tcPr>
            <w:tcW w:type="dxa" w:w="18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第一支撑</w:t>
            </w:r>
          </w:p>
        </w:tc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60.0~62.5元</w:t>
            </w:r>
          </w:p>
        </w:tc>
        <w:tc>
          <w:tcPr>
            <w:tcW w:type="dxa" w:w="59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布林下轨60.01元与MA60 62.51元构成，跌破MA60则弱势确认</w:t>
            </w:r>
          </w:p>
        </w:tc>
      </w:tr>
      <w:tr>
        <w:tc>
          <w:tcPr>
            <w:tcW w:type="dxa" w:w="18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强支撑</w:t>
            </w:r>
          </w:p>
        </w:tc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51.0~55.0元</w:t>
            </w:r>
          </w:p>
        </w:tc>
        <w:tc>
          <w:tcPr>
            <w:tcW w:type="dxa" w:w="59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参考52周低点51.06元；若失守60元，下方参照稀疏，向52周低点打开空间</w:t>
            </w:r>
          </w:p>
        </w:tc>
      </w:tr>
    </w:tbl>
    <w:p>
      <w:pPr>
        <w:spacing w:before="200"/>
      </w:pP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8.3 按历史波动率测算的一周区间</w:t>
      </w:r>
    </w:p>
    <w:p>
      <w:pPr>
        <w:spacing w:after="160" w:line="300"/>
      </w:pPr>
      <w:r>
        <w:rPr>
          <w:sz w:val="22"/>
          <w:szCs w:val="22"/>
        </w:rPr>
        <w:t xml:space="preserve">以2026-10-27价格62.26元为基准，用近300个交易日的收益分布（按当前指数加权日波动率约3.6%缩放，保留这只股票自身的大涨大跌频率）推算未来5个交易日的收盘价范围：</w:t>
      </w:r>
    </w:p>
    <w:tbl>
      <w:tblPr>
        <w:tblW w:type="dxa" w:w="99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00"/>
        <w:gridCol w:w="4000"/>
      </w:tblGrid>
      <w:tr>
        <w:trPr>
          <w:tblHeader/>
        </w:trPr>
        <w:tc>
          <w:tcPr>
            <w:tcW w:type="dxa" w:w="22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覆盖概率</w:t>
            </w:r>
          </w:p>
        </w:tc>
        <w:tc>
          <w:tcPr>
            <w:tcW w:type="dxa" w:w="37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价格区间</w:t>
            </w:r>
          </w:p>
        </w:tc>
        <w:tc>
          <w:tcPr>
            <w:tcW w:type="dxa" w:w="4000"/>
            <w:shd w:fill="1F4E79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20"/>
                <w:szCs w:val="20"/>
              </w:rPr>
              <w:t xml:space="preserve">相对基准</w:t>
            </w:r>
          </w:p>
        </w:tc>
      </w:tr>
      <w:tr>
        <w:tc>
          <w:tcPr>
            <w:tcW w:type="dxa" w:w="22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约68%</w:t>
            </w:r>
          </w:p>
        </w:tc>
        <w:tc>
          <w:tcPr>
            <w:tcW w:type="dxa" w:w="37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57.48～68.28元</w:t>
            </w:r>
          </w:p>
        </w:tc>
        <w:tc>
          <w:tcPr>
            <w:tcW w:type="dxa" w:w="4000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-7.7%～+9.7%</w:t>
            </w:r>
          </w:p>
        </w:tc>
      </w:tr>
      <w:tr>
        <w:tc>
          <w:tcPr>
            <w:tcW w:type="dxa" w:w="22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约95%</w:t>
            </w:r>
          </w:p>
        </w:tc>
        <w:tc>
          <w:tcPr>
            <w:tcW w:type="dxa" w:w="37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51.27～74.22元</w:t>
            </w:r>
          </w:p>
        </w:tc>
        <w:tc>
          <w:tcPr>
            <w:tcW w:type="dxa" w:w="4000"/>
            <w:shd w:fill="EAF1F8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000000"/>
                <w:sz w:val="20"/>
                <w:szCs w:val="20"/>
              </w:rPr>
              <w:t xml:space="preserve">-17.7%～+19.2%</w:t>
            </w:r>
          </w:p>
        </w:tc>
      </w:tr>
    </w:tbl>
    <w:p>
      <w:pPr>
        <w:spacing w:before="200"/>
      </w:pP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该区间只反映这只股票近期的波动幅度，不含涨跌方向判断；遇到重大公告或大盘急跌，实际走势仍可能超出区间。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8.4 未来一周情景（主观权重，非统计概率）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震荡整理（相对权重较高，约五成）</w:t>
      </w:r>
      <w:r>
        <w:rPr>
          <w:sz w:val="22"/>
          <w:szCs w:val="22"/>
        </w:rPr>
        <w:t xml:space="preserve">：价格在60.0~66.0元区间反复，超卖后缩量止跌；触发条件为单日成交额回落至0.7亿元以下、无新增利空。按历史波动率测算，一周后收盘落在该区间的概率约35%。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偏弱下行（权重中等，约三成）</w:t>
      </w:r>
      <w:r>
        <w:rPr>
          <w:sz w:val="22"/>
          <w:szCs w:val="22"/>
        </w:rPr>
        <w:t xml:space="preserve">：有效跌破MA60（62.5元）且成交额维持在1.5亿元以上，下一目标看布林下轨60元，失守则向55元靠拢。按历史波动率测算，一周后收盘落在该区间的概率约35%。</w:t>
      </w:r>
    </w:p>
    <w:p>
      <w:pPr>
        <w:pStyle w:val="ListParagraph"/>
        <w:numPr>
          <w:ilvl w:val="0"/>
          <w:numId w:val="2"/>
        </w:numPr>
        <w:spacing w:after="80" w:line="280"/>
      </w:pPr>
      <w:r>
        <w:rPr>
          <w:b/>
          <w:bCs/>
          <w:sz w:val="22"/>
          <w:szCs w:val="22"/>
        </w:rPr>
        <w:t xml:space="preserve">反弹走强（权重偏低，约两成）</w:t>
      </w:r>
      <w:r>
        <w:rPr>
          <w:sz w:val="22"/>
          <w:szCs w:val="22"/>
        </w:rPr>
        <w:t xml:space="preserve">：需放量收复67.2元布林中轨并站稳，方打开向70元以上的空间；单纯超卖反抽难以持续。按历史波动率测算，一周后收盘落在该区间的概率约15%。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括号内是主观权重；句末的概率由上面的波动率区间反推，只反映波动幅度、不含方向判断。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8.5 资金与流动性</w:t>
      </w:r>
    </w:p>
    <w:p>
      <w:pPr>
        <w:spacing w:after="160" w:line="300"/>
      </w:pPr>
      <w:r>
        <w:rPr>
          <w:sz w:val="22"/>
          <w:szCs w:val="22"/>
        </w:rPr>
        <w:t xml:space="preserve">近10个交易日日成交额0.59~1.79亿元、换手率1.13%~3.35%，属小盘低流动性品种，大额买卖易放大滑点。截至2026-09-30前十大流通股东合计占流通股55.48%，第一大股东桐乡市顺昌投资独占39.09%，其余多为个人股东，未见公募、社保、QFII身影；该数据披露滞后，当前结构可能已变化，筹码高度集中于产业资本手中。</w:t>
      </w:r>
    </w:p>
    <w:p>
      <w:pPr>
        <w:spacing w:after="160" w:line="300"/>
      </w:pPr>
      <w:r>
        <w:rPr>
          <w:sz w:val="22"/>
          <w:szCs w:val="22"/>
        </w:rPr>
        <w:t xml:space="preserve">若单日成交额放大至1.8亿元以上且收盘站上67.2元，可视为资金回补信号。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以上情景推演基于2026-10-27收盘数据及历史价格、技术指标测算，短期股价还会受消息面、资金面、大盘环境等多重因素扰动，技术指标本身存在滞后性和局限性，不构成对未来实际走势的保证，也不构成买卖建议，请结合最新市场信息独立判断并自行承担投资风险。</w:t>
      </w:r>
    </w:p>
    <w:p>
      <w:pPr>
        <w:pStyle w:val="Heading2"/>
        <w:spacing w:after="120" w:before="240"/>
      </w:pPr>
      <w:r>
        <w:rPr>
          <w:b/>
          <w:bCs/>
          <w:color w:val="2E74B5"/>
          <w:sz w:val="24"/>
          <w:szCs w:val="24"/>
        </w:rPr>
        <w:t xml:space="preserve">数据来源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中国股票经营分析表 - 浙江嘉澳环保科技股份有限公司 - 2025年12月31日 - 同花顺 — https://basic.10jqka.com.cn/astockpc/astockmain/index.html#/operate?code=603822&amp;marketid=33#12179361130564419292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ST嘉澳（603822）2026年半年度管理层讨论与分析-证券之星 - ST嘉澳（603822）2026年半年度管理层讨论与分析 — https://wap.stockstar.com/detail/RB2026080700038996#1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浙江嘉澳环保科技股份有限公司 — https://epaper.cs.com.cn/zgzqb/wap/html/2025-04/29/nw.D110000zgzqb_20250429_1-B772.htm#1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ST嘉澳（603822）2026年半年度管理层讨论与分析-证券之星 — https://4g.stockstar.com/detail/RB2026080700038996#1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证券日报 - 浙江嘉澳环保科技股份有限公司 2024年年度报告摘要 — http://m.epaper.zqrb.cn/html/2025-04/29/content_1143532.htm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嘉澳环保(603822)首次覆盖：生物航煤项目启航 打开利润新增长通道 - 嘉澳环保(603822)首次覆盖：生物航煤项目启航 打开利润新增长通道 — http://vip.stock.finance.sina.com.cn/q/go.php/vReport_Show/kind/lastest/rptid/816292154102/index.phtml#1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603822 ST嘉澳 - 核心题材 — https://emweb.securities.eastmoney.com/CoreConception/index?type=soft&amp;code=SH603822&amp;color=b#hxgn-0#1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ST嘉澳上市公司信息 — https://m.hx168.com.cn/stock/F10/603822.html#1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2026年第三季度报告 — https://static.cninfo.com.cn/finalpage/2026-10-24/1225619572.PDF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2025年年度报告 — https://static.cninfo.com.cn/finalpage/2026-04-10/1225091341.PDF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2024年年度报告 — https://static.cninfo.com.cn/finalpage/2025-04-29/1223386657.PDF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2023年年度报告（更正后） — https://static.cninfo.com.cn/finalpage/2024-06-15/1220359240.PDF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腾讯财经行情（2026-10-28） — https://gu.qq.com/sh603822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东方财富F10 合并资产负债表（2026三季报） — https://emweb.securities.eastmoney.com/pc_hsf10/pages/index.html?type=web&amp;code=SH603822#/cwfx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F10 盈利预测 — https://emweb.securities.eastmoney.com/pc_hsf10/pages/index.html?type=web&amp;code=SH603822#/ylyc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ST嘉澳:2026年第三季度报告 — https://pdf.dfcfw.com/pdf/H2_AN202610231830844565_1.pdf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中国证券报 - 浙江嘉澳环保科技股份有限公司 - | 第B093版：信息披露 | 上一版 下一版 — http://app.cnstock.com/zzb/zgzqb/html/2026-10/24/nw.D110000zgzqb_20261024_1-B093.htm#1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浙江嘉澳环保科技股份有限公司2026年第三季度报告 — https://paper.cnstock.com/html/2026-10/24/content_2280363.htm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浙江嘉澳环保科技股份有限公司 第七届董事会第三次会议决议公告 - 稿件搜索 — http://epaper.zqrb.cn/html/2026-10/24/content_1281815.htm?div=-1#1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担保ST嘉澳(603822):为控股子公司提供担保的进展公告 - 担保ST嘉澳(603822):为控股子公司提供担保的进展公告 — https://vipwt1.cfi.net.cn/p20261023001426.html#1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ST嘉澳(603822):第七届董事会第三次会议决议 — https://vipwt1.cfi.net.cn/p20261023001429.html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ST嘉澳(603822):2026年第三季度主要经营数据公告 — https://vipwt1.cfi.cn/p20261023001432.html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ST嘉澳(603822):2026年第三季度主要经营数据公告 - ST嘉澳(603822):2026年第三季度主要经营数据公告 — https://vipwt1.cfi.net.cn/p20261023001432.html#1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ST嘉澳: 关于为控股子公司提供担保的进展公告 - 证券代码：603822 证券简称：ST 嘉澳 公告编号：2026-063 — https://stock.stockstar.com/notice/SN2026102300038583.shtml#1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个股资金流向 — https://data.eastmoney.com/zjlx/603822.html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东方财富 股东研究 — https://emweb.securities.eastmoney.com/pc_hsf10/pages/index.html?type=web&amp;code=SH603822#/gdyj</w:t>
      </w:r>
    </w:p>
    <w:p>
      <w:pPr>
        <w:spacing w:after="200"/>
      </w:pPr>
      <w:r>
        <w:rPr>
          <w:i/>
          <w:iCs/>
          <w:color w:val="595959"/>
          <w:sz w:val="18"/>
          <w:szCs w:val="18"/>
        </w:rPr>
        <w:t xml:space="preserve">本报告由AI基于公开渠道信息自动检索、整理并生成，信息截至 2026-10-27收盘，可能存在时效性差异，具体数据请以公司正式公告及权威数据终端为准。本报告仅为信息整理与研究参考，不构成任何投资建议，投资者应独立判断并自行承担投资风险。</w:t>
      </w:r>
    </w:p>
    <w:sectPr>
      <w:pgSz w:w="11907" w:h="16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icrosoft YaHei" w:cs="Microsoft YaHei" w:eastAsia="Microsoft YaHei" w:hAnsi="Microsoft YaHe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Normal">
    <w:name w:val="Normal"/>
    <w:qFormat/>
    <w:rPr>
      <w:rFonts w:ascii="Microsoft YaHei" w:cs="Microsoft YaHei" w:eastAsia="Microsoft YaHei" w:hAnsi="Microsoft YaHei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2026-10-28T06:34:32.734Z</dcterms:created>
  <dcterms:modified xsi:type="dcterms:W3CDTF">2026-10-28T06:34:32.734Z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