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瑞芯微电子股份有限公司 (603893)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行业：SoC芯片设计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报告日期：2026年10月20日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行情截至2026-10-20收盘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核心结论：盈利加速与产品结构改善支撑增长，但高估值仍要求兑现持续放量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189.04元（+10.00%）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约800.39亿元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58.52倍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16.26倍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144.25～232.68元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38.34亿元／4.96%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行情数据截至：2026-10-20收盘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盈利增长继续提速</w:t>
      </w:r>
      <w:r>
        <w:rPr>
          <w:sz w:val="22"/>
          <w:szCs w:val="22"/>
        </w:rPr>
        <w:t xml:space="preserve">：2026年中报营收28.77亿元、同比增长40.60%，归母净利润8.59亿元、同比增长61.73%；单季收入、净利同比增43.95%、64.72%。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核心SoC与新产品决定后续弹性</w:t>
      </w:r>
      <w:r>
        <w:rPr>
          <w:sz w:val="22"/>
          <w:szCs w:val="22"/>
        </w:rPr>
        <w:t xml:space="preserve">：智能应用处理器占2025年收入89.21%、增长41.65%；公司预计四季度PCB供应改善、订单恢复，并关注RK3572、RK182X放量。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估值低于自身PE中位但仍不便宜</w:t>
      </w:r>
      <w:r>
        <w:rPr>
          <w:sz w:val="22"/>
          <w:szCs w:val="22"/>
        </w:rPr>
        <w:t xml:space="preserve">：10月20日收盘189.04元，PE-TTM 58.52倍、PB-MRQ 16.26倍；PE处近5.2年8%分位，机构目标价区间273.2—280元。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：一致预期净利润增速为2026—2028年57.2%、28.6%、26.3%；现价对应的10年EPS年均增速要求约23.8%。两者期限和指标口径不同，不宜直接比较高低。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：2026年中报盈利增速强于收入增速；前三季度预告净利13.10亿至13.50亿元，但PCB短缺已造成订单顺延，四季度恢复与新品放量仍待验证。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证据倾向：偏多；置信度：中（部分财务字段仍缺官方核验或披露日期）</w:t>
      </w:r>
    </w:p>
    <w:p>
      <w:pPr>
        <w:spacing w:after="160" w:line="300"/>
      </w:pPr>
      <w:r>
        <w:rPr>
          <w:sz w:val="22"/>
          <w:szCs w:val="22"/>
        </w:rPr>
        <w:t xml:space="preserve">中报盈利加速且核心产品增长明确；但PCB订单恢复、新品放量尚待兑现，估值相对同行仍有溢价。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以Fabless模式设计销售智能应用处理器SoC及配套芯片，主要通过经销渠道面向多类终端客户，以产品性能、软件适配和应用方案实现差异化。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智能应用处理器芯片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89.21%（2025年，按分产品收入/合并营收计算）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40.70%（2025年）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41.65%（2025年）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绝对核心业务，覆盖多类智能终端应用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数模混合芯片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8.18%（2025年，按分产品收入/合并营收计算）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48.01%（2025年）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25.98%（2025年）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包括电源管理、接口转换及无线连接等配套芯片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其他芯片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2.22%（2025年，按分产品收入/合并营收计算）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64.07%（2025年）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68.91%（2025年）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收入规模较小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技术服务及其他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0.36%（2025年，按分产品收入/合并营收计算）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73.91%（2025年）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-19.57%（2025年）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占比很小，对整体经营影响有限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自研NPU、ISP及视频编解码IP；2025年研发费用6.84亿元，占营收15.53%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2025年研发人员799人，占员工总数77.65%；累计获授权专利761项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多档位SoC及配套芯片可跨平台复用软件与设计经验</w:t>
      </w:r>
    </w:p>
    <w:p>
      <w:pPr>
        <w:spacing w:after="160" w:line="300"/>
      </w:pPr>
      <w:r>
        <w:rPr>
          <w:sz w:val="22"/>
          <w:szCs w:val="22"/>
        </w:rPr>
        <w:t xml:space="preserve">主要威胁：Fabless供应链依赖较强；2025年前五大供应商采购占比79.62%，前五大客户销售占比60.67%。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Fabless模式，晶圆制造、封装和测试委外；2025年集成电路成本中晶圆17.39亿元、加工费6.04亿元。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晶圆占集成电路成本68.05%，加工费占23.63%；前五大供应商采购占比79.62%，未披露具体名单。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2025年经销收入43.32亿元，占主营业务收入98.42%；产品面向汽车、工业、机器人、消费电子等终端领域。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议价取决于芯片性能、软件适配和客户重新设计成本；经销渠道及大客户集中使渠道议价仍需关注。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2025年年报披露前五大客户销售占比60.67%；客户名单未披露，且仅有该年度集中度数据。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2025年末应收账款4.68亿元，为营收10.62%、归母净利45.0%；存货12.54亿元，应付账款5.32亿元，应收周转约31天。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约40.00%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22.14%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芯片供应紧缺，供应约束限制销售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37.68%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14.65%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市场波动、芯片销售收入下降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34.24%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6.32%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收入增幅有限，毛利率继续下滑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37.59%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18.97%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AIoT需求增长，产品结构优化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41.94%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23.63%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产品结构优化、规模效应显现；存储涨价仍有成本压力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公司处于Fabless芯片设计环节，价值来自自研SoC/IP、软件适配及多场景复用。2022—2023年毛利率下行，2024—2025年恢复；进一步改善取决于产品结构、规模效应能否抵消晶圆等供应成本及客户渠道议价压力。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AIoT与智能终端芯片需求拓展至汽车、机器人、机器视觉和工业应用；瑞芯微近年毛利率恢复，关键在产品结构和规模效应能否持续覆盖上游成本压力。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全志科技（300458）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智能终端、AIoT SoC设计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2025年营收28.38亿元；PE(TTM) 48.14倍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通用AIoT处理器与瑞芯微重叠；2025年毛利率—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晶晨股份（688099）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智能多媒体及AIoT SoC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2025年营收67.93亿元；毛利率37.97%；PE(TTM) 41.14倍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电视、机顶盒多媒体SoC权重更高，与瑞芯微部分重叠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星宸科技（301536）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视觉AI SoC设计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2025年营收29.72亿元；毛利率34.16%；PE(TTM) 43.3倍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安防、智能物联及车载视觉，与瑞芯微视觉产品线重叠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瑞芯微2025年综合毛利率41.94%，高于所列晶晨、星宸；其优势在SoC产品梯队、自研IP及多场景平台复用。短板是Fabless供应商集中、客户集中且经销占比高，盈利表现仍受供应成本和渠道议价影响。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28.77亿元人民币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+40.60%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8.59亿元人民币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+61.73%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+62.77%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45.79%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44.02亿元人民币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+40.36%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10.40亿元人民币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+74.82%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+87.39%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41.95%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31.36亿元人民币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+46.94%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5.95亿元人民币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+341.01%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+326.22%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37.59%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2026年中报所在单季收入、归母净利同比增长43.95%、64.72%，增长提速；同期经营现金流净额仅增12.99%，前五大客户应收账款占比72.84%。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18.34%（2026年中报）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半年加权ROE保持较高水平。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25.27%（2026年中报）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杠杆水平较低。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0.93（2026年中报）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现金流低于同期净利润。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29.7天（2026年中报）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回款周转较快。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160.0天（2026年中报）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较2025年末的143.5天有所上升。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应收账款前五名客户占比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72.84%（2026-06-30）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客户集中度较高。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58.52倍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近5.2年8%分位（中位数89.37倍）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中位数43.30倍（全志科技48.14、晶晨股份41.14、星宸科技43.30）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16.26倍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近5.2年64%分位（中位数14.02倍）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中位数8.17倍（全志科技8.17、晶晨股份5.09、星宸科技11.73）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近5.2年40%分位（中位数16.36倍）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中位数8.40倍（全志科技8.40、晶晨股份5.17、星宸科技10.77）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0.79%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估值倍数由程序按2026-10-20收盘数据计算（滚动十二个月口径）；同行倍数按2026-10-20收盘数据同口径计算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58.52倍市盈率计，若投资者要求年化8%的回报、10年后按15倍市盈率估值，每股收益需年均增长约23.8%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PE-TTM 58.52倍处近5.2年8%分位，低于自身中位数89.37倍；但PB-MRQ 16.26倍处64%分位，高于中位数14.02倍。市场隐含10年EPS年均增长约23.8%；一致预期近三年净利增速仍高，但口径期限不同，现价仍要求盈利持续兑现。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61.49亿元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16.35亿元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+57.2%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3.87元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78.94亿元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21.02亿元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+28.6%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4.97元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98.28亿元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26.55亿元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+26.3%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6.28元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东方财富近六个月研报汇总，截至2026-10-20。可见机构研报明细，评级人数另计：2026E净利润12家、EPS12家；2027E净利润12家、EPS12家；2028E净利润12家、EPS12家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覆盖3家，均值276.81元，区间273.2—280元；最新为华创证券2026-09-27的277.22元。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华创证券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强推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2026-09-27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目标价277.22元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2026-08-19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目标价273.2元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美银证券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2026-08-17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目标价280元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2026年三季报披露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关注毛利率、Q3单季环比、库存及四季度订单恢复情况，判断经营兑现度。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2026年四季度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RK3572、RK182X放量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关注RK3572大规模出货及RK182X放量是否兑现，并观察PCB供应改善和订单恢复。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2026-12-31前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新一代协处理器发布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关注公司是否按期发布，以及产品落地和量产进展。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2026-10-15 前三季度业绩预告高增（利好）</w:t>
      </w:r>
      <w:r>
        <w:rPr>
          <w:sz w:val="22"/>
          <w:szCs w:val="22"/>
        </w:rPr>
        <w:t xml:space="preserve">：预计前三季度营收约44.47亿元、同比增长约41.56%；归母净利润13.10亿至13.50亿元。公司称PCB短缺导致订单顺延，预计四季度恢复。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2026-09-04 黄旭本轮减持计划完毕（利好）</w:t>
      </w:r>
      <w:r>
        <w:rPr>
          <w:sz w:val="22"/>
          <w:szCs w:val="22"/>
        </w:rPr>
        <w:t xml:space="preserve">：公司披露股东减持结果，本轮计划已实施完毕，阶段性减持压力释放；黄旭仍持有公司13.23%股份。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产品结构与规模效应改善盈利：2025年综合毛利率41.94%，高于2023年的34.24%。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自研与研发投入支撑多场景拓展：2025年研发费用6.84亿元，占营收15.53%；研发人员占比77.65%。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客户集中度高：2026年6月底前五大客户应收账款占比72.84%，客户回款或订单波动可能放大业绩波动。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库存与现金转化承压：2026年中报存货周转160天，高于2025年末143.5天；经营现金流净额/净利润为0.93。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供应商集中且Fabless依赖外协：前五大供应商采购占比79.62%，若晶圆、封测供应受限或成本上升，将压制交付与毛利率。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经销渠道占比高：2025年经销收入占主营业务收入98.42%，渠道议价或库存调整可能影响出货节奏与利润兑现。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2026年中报45.79%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三季度维持或高于中报水平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明显回落，显示成本或产品结构承压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四季度订单恢复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公司称PCB短缺导致订单顺延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订单按预期恢复，延期转为实际出货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供应约束延续或订单继续递延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RK3572、RK182X放量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公司预计2026年四季度放量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披露规模出货并带动相关收入增长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放量延期或未体现为实际收入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存货周转天数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2026年中报160天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后续回落至2025年末143.5天附近或以下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继续上升，显示备货积压或销售转化放缓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⚠️风险提示：以下权重为基于当前技术与资金面的主观情景推演，非统计概率。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当日放量上涨，收盘重回MA5上方，但仍受MA10及MA20/MA60均线压制；MACD仍为负值，短线反弹能否延续需观察能否站稳197元附近。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MA5 183.48 / MA10 193.13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收盘高于MA5，仍低于MA10。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MA20/MA60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MA20 197.11 / MA60 195.63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中期均线集中于195~197元附近。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-2.651 / DEA 0.579 / 柱 -6.460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仍在零轴下方，绿柱较前一日收窄。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48.0 / RSI14 47.2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动能处于中性区域。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229.01 / 中轨 197.11 / 下轨 165.21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收盘低于中轨，处于中下区间。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193~197元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对应MA10及MA20/MA60均线区；有效站上后可看向布林上轨附近。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183~189元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对应MA5及当前收盘区域；失守或回试更低支撑。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159~165元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对应近20日低点及布林下轨；跌破后下方关注52周低点144.25元。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以2026-10-20价格189.04元为基准，用近300个交易日的收益分布（按当前指数加权日波动率约4.7%缩放，保留这只股票自身的大涨大跌频率）推算未来5个交易日的收盘价范围：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169.14～209.67元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-10.5%～+10.9%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153.90～247.76元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-18.6%～+31.1%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区间内有2026年 三季报预约披露（2026-10-27），已按这只股票历次财报日的实际波动把区间放宽约1%。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：183~200元；守住183元但未有效站上197元，围绕均线区间整理。按历史波动率测算，一周后收盘落在该区间的概率约30%。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：159~183元；收盘失守183元且成交活跃，回探近20日低点与布林下轨区域。按历史波动率测算，一周后收盘落在该区间的概率约35%。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：197~229元；放量站上197元均线密集区，反弹空间打开至布林上轨附近。按历史波动率测算，一周后收盘落在该区间的概率约30%。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（2026-09-30至2026-10-20）成交额约16.52亿~40.84亿元、换手率约1.94%~5.32%，最新为38.34亿元、4.96%。截至2026-06-30，前十大流通股东合计占63.17%；个人励民、黄旭合计51.19%，名单中亦有景顺长城、万家、华夏基金相关持仓。股东数据有披露时滞，结构可能已变化；筹码集中度较高，大额交易可能加剧盘口波动。</w:t>
      </w:r>
    </w:p>
    <w:p>
      <w:pPr>
        <w:spacing w:after="160" w:line="300"/>
      </w:pPr>
      <w:r>
        <w:rPr>
          <w:sz w:val="22"/>
          <w:szCs w:val="22"/>
        </w:rPr>
        <w:t xml:space="preserve">若单日成交额超过40.84亿元且收盘站上197.11元，可确认量价反弹信号。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-20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瑞芯微电子股份有限公司2025年年度报告 — https://pdf.dfcfw.com/pdf/H2_AN202604141821197102_1.pdf?t=1777270925732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瑞芯微电子股份有限公司2025年年度报告 — https://static.cninfo.com.cn/finalpage/2026-04-15/1225103780.PDF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瑞芯微(603893)_公司公告_瑞芯微：2025年年度报告新浪财经_新浪网 — https://money.finance.sina.com.cn/corp/view/vCB_AllBulletinDetail.php?id=12089989&amp;stockid=603893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瑞芯微(603893)_公司公告_瑞芯微：2021年年度报告新浪财经_新浪网 — https://vip.stock.finance.sina.com.cn/corp/view/vCB_AllBulletinDetail.php?id=7902808&amp;stockid=603893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瑞芯微: 2022年年度报告_股票频道_证券之星 — https://stock.stockstar.com/notice/SN2023040900000701.shtml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公司公告_瑞芯微：2023年年度报告新浪财经_新浪网 — https://vip.stock.finance.sina.com.cn/corp/view/vCB_AllBulletinDetail.php?id=9970137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瑞芯微(603893)_公司公告_瑞芯微：2024年年度报告新浪财经_新浪网 — https://money.finance.sina.com.cn/corp/view/vCB_AllBulletinDetail.php?id=10933839&amp;stockid=603893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全志科技(300458)_公司公告_全志科技：2025年年度报告新浪财经_新浪网 — https://money.finance.sina.com.cn/corp/view/vCB_AllBulletinDetail.php?id=12023054&amp;stockid=300458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2026年半年度报告 — https://static.cninfo.com.cn/finalpage/2026-08-18/1225478618.PDF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2024年年度报告 — https://static.cninfo.com.cn/finalpage/2025-04-23/1223218255.PDF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 — https://static.cninfo.com.cn/finalpage/2024-04-15/1219612040.PDF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腾讯财经行情（2026-10-20） — https://gu.qq.com/sh603893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https://emweb.securities.eastmoney.com/pc_hsf10/pages/index.html?type=web&amp;code=SH603893#/cwfx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https://emweb.securities.eastmoney.com/pc_hsf10/pages/index.html?type=web&amp;code=SH603893#/ylyc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瑞芯微:2026年半年度报告 — https://pdf.dfcfw.com/pdf/H2_AN202608171828061362_1.pdf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瑞芯微电子股份有限公司2026年前三季度业绩情况的自愿性披露公告 — https://paper.cnstock.com/html/2026-10/16/content_2278001.htm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瑞芯微：前三季度净利润同比预增68.04%—73.17% — https://www.stcn.com/article/detail/4220929.html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瑞芯微：前三季度净利润预增68%到73% — https://www.cnstock.com/commonDetail/803122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瑞芯微前三季度净利润同比预增超60% — https://www.cnstock.com/commonDetail/803133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瑞芯微：公司端侧AI产品线保持高速增长 新一代协处理器将在年内发布 — https://m.cnfin.com/gs-lb//zixun/20261015/4481391_1.html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瑞芯微(603893)_公司公告_瑞芯微：2026年前三季度业绩情况的自愿性披露公告新浪财经_新浪网 - 瑞芯微 — http://vip.stock.finance.sina.com.cn/corp/view/vCB_AllBulletinDetail.php?stockid=603893&amp;id=12644078#1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瑞芯微(603893):2026年前三季度业绩情况的自愿性披露公告 - 瑞芯微(603893):2026年前三季度业绩情况的自愿性披露公告 — https://wt.cfi.cn/p20261015001611.html#1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瑞芯微: 2026年前三季度业绩情况的自愿性披露公告-证券之星 — https://wap.stockstar.com/detail/SN2026101600000982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https://data.eastmoney.com/zjlx/603893.html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https://emweb.securities.eastmoney.com/pc_hsf10/pages/index.html?type=web&amp;code=SH603893#/gdyj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2026-10-20收盘，可能存在时效性差异，具体数据请以公司正式公告及权威数据终端为准。本报告仅为信息整理与研究参考，不构成任何投资建议，投资者应独立判断并自行承担投资风险。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2026-10-20T12:43:28.300Z</dcterms:created>
  <dcterms:modified xsi:type="dcterms:W3CDTF">2026-10-20T12:43:28.300Z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