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长城科技 (603897)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行业：电磁线（绕组线）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报告日期：2026年11月1日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核心结论：Q3单季扣非增58%确认盈利拐点，但现金流为负与筹码分散制约估值修复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24.89元（-1.50%）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约51.38亿元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14.25倍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20.49～59.20元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2.21亿元／4.24%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Q3单季利润加速，拐点确立</w:t>
      </w:r>
      <w:r>
        <w:rPr>
          <w:sz w:val="22"/>
          <w:szCs w:val="22"/>
        </w:rPr>
        <w:t xml:space="preserve">：Q3营收41.38亿元(+30.95%)、扣非1.20亿元(+58.07%)，远快于H1归母+3.25%；前三季度扣非+23.46%。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增长靠销量与铜价，加工费未升</w:t>
      </w:r>
      <w:r>
        <w:rPr>
          <w:sz w:val="22"/>
          <w:szCs w:val="22"/>
        </w:rPr>
        <w:t xml:space="preserve">：公司称利润增长主因销量增长，收入还受铜价上升推动；前三季度毛利率4.56%，主业毛利率仅4.74%，加工费未改善。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PE处5.2年4%分位，估值有缓冲</w:t>
      </w:r>
      <w:r>
        <w:rPr>
          <w:sz w:val="22"/>
          <w:szCs w:val="22"/>
        </w:rPr>
        <w:t xml:space="preserve">：PE(TTM)14.25倍，近5.2年4%分位、中位数22.39倍；PB2.1倍处56%分位；股息率约6.83%。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：近六个月无机构盈利预测，无一致预期增速；PE处5.2年4%分位，市场隐含每股收益年化增速仅7.4%。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：Q3扣非+58.07%已明显高于年化7.4%的隐含要求，但前三季度经营现金流-1279.52万元、股东户数环比增64%，市场对利润质量与筹码分散存疑。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证据倾向：偏多；置信度：中（无机构盈利预测、部分财务字段仍缺官方核验或披露日期、部分数据源不可用或降级，核验覆盖受限）</w:t>
      </w:r>
    </w:p>
    <w:p>
      <w:pPr>
        <w:spacing w:after="160" w:line="300"/>
      </w:pPr>
      <w:r>
        <w:rPr>
          <w:sz w:val="22"/>
          <w:szCs w:val="22"/>
        </w:rPr>
        <w:t xml:space="preserve">Q3扣非+58%确认盈利加速且PE处4%分位，但现金流为负、股东户数增64%使证据强度打折。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向上游铜厂采购铜杆、按铜价+加工费模式向电机/家电/新能源客户直销电磁线，赚加工费与周转效率。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电磁线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97.94%（2025年）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唯一主业，上千种规格，毛利98.7%来自该板块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其他（补充）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2.06%（2025年）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3.00%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零星业务，毛利率低于主业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规模与品类：电磁线产能约23万吨/年，产品上千种规格，销量居国内同行业前列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认证门槛：通过IATF16949、UL等认证，获国家级制造业单项冠军，客户验证周期形成一定准入壁垒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客户分散：2025年前五大客户合计占营收29.59%，单一最大仅7.96%，无大客户依赖</w:t>
      </w:r>
    </w:p>
    <w:p>
      <w:pPr>
        <w:spacing w:after="160" w:line="300"/>
      </w:pPr>
      <w:r>
        <w:rPr>
          <w:sz w:val="22"/>
          <w:szCs w:val="22"/>
        </w:rPr>
        <w:t xml:space="preserve">主要威胁：产品同质化、加工费竞争使毛利率长期仅4%–5%；铜价占成本93.89%完全被动传导；规模与一体化程度弱于精达股份。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主料为铜、辅以绝缘漆，铜价随大宗商品波动，公司为纯价格接受者；2025年前五名供应商采购占比95.04%，前三家合计81.65%，第一名单家31.91%。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议价空间集中在加工费而非铜价；供应商高度集中且多为铜冶炼/贸易巨头，公司只能比质比价采购、按铜价联动传导成本。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下游为工业电机、家电、新能源车、电动工具等，采用直销+年度框架协议，价格按铜价+加工费联动，无汽车零部件式固定年降条款。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下游客户集中度高于电磁线行业本身，但公司自身客户分散，对单一客户议价筹码有限；约90%产品销往华东，海外占比极低。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2025年前五大客户合计37.25亿元、占营收29.59%（最大7.96%），较2024年31.15%下降；年报匿名披露客户名称，下游行业权重无公开数据。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应收账款周转天数由2023年约74天升至2025年84.22天，回款变慢；2025年经营现金流净额7.13亿元远超净利3.15亿元，部分回款以票据（4.27亿元）沉淀。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4.28%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毛利率低位小幅修复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1.82%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铜价上涨抬高收入、摊薄毛利率，增收不增利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成本降幅大于收入降幅，毛利率回升0.51pp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约4.3%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1.87%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铜价上涨虚增收入，销量-4%，加工利润未同步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处微笑曲线中游铜加工/绕线加工段，毛利率4%–5%、净利率约2%，赚加工费与周转效率的钱。利润改善只能靠扁线/特种线结构升级提升单位加工费、规模与良率摊薄成本、铜价波动下的库存套保管理；涨价与压供应商均无空间。2021-2022年分年综合毛利率与净利率未能取得可靠数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中国是全球最大电磁线生产国，行业总量稳定、中低端同质化、头部集中度提升；扁线在新能源车驱动电机渗透率快速提升，是产品升级主方向，也是公司利润率能否抬升的关键变量。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精达股份（600577）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电磁线+特种导体+铜杆一体化龙头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2025营收246.74亿、归母净利5.99亿、毛利率5.74%、净利率2.43%；PE(TTM) 23.73倍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规模约长城2倍，具铜杆自供、特种导体（毛利率13.01%）与海外基地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金田股份（601609）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铜加工平台+电磁线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 18.18倍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规模大于长城，业务更综合，具体财务数据待补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露笑科技（002617）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电磁线+其他业务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 71.64倍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非纯电磁线标的，具体财务数据待补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相对精达，长城毛利率低约1pp、规模约一半、销量约四成，缺特种导体、铜杆自供与海外产能，抗铜价与贸易摩擦能力较弱；优势在专注单一品类、华东就近配套与客户分散。属国内电磁线第一梯队，“全球前三”仅为公司自述，无独立来源支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2026年前三季度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117.19亿元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+24.11%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2.60亿元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+21.01%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+23.46%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4.56%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125.87亿元人民币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-3.07%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3.15亿元人民币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+33.62%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+34.74%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4.70%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129.85亿元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+17.21%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2.36亿元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+9.05%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+17.13%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4项，4项与表中一致。</w:t>
      </w:r>
    </w:p>
    <w:p>
      <w:pPr>
        <w:spacing w:after="160" w:line="300"/>
      </w:pPr>
      <w:r>
        <w:rPr>
          <w:sz w:val="22"/>
          <w:szCs w:val="22"/>
        </w:rPr>
        <w:t xml:space="preserve">三季度单季营收、归母及扣非净利同比增长30.95%、52.38%和58.07%；公司称利润增长主要因销量增长，收入增长还受铜价上升影响。前三季度经营现金流转负，主要因购买商品付款增加。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2026年前三季度10.49%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2025年度为12.64%，最新期回报低于上年全年。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2026年三季末67.32%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较2025年末63.01%上升，杠杆水平提高。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2026年前三季度-0.05倍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2025全年为2.26倍；本期现金转化明显转弱。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2026年前三季度70.2天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较2025年度84.2天减少；跨期间计算口径可比性有限。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2026年三季末1.32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高于1，但低于2025年末的1.37。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2026年三季报20.9倍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利息保障倍数较高，偿息覆盖能力较强。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14.25倍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近5.2年4%分位（中位数22.39倍）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中位数23.73倍（精达股份23.73、金田股份18.18、露笑科技71.64）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近5.2年56%分位（中位数1.98倍）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中位数1.60倍（精达股份2.29、金田股份1.50、露笑科技1.60）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近5.2年11%分位（中位数0.42倍）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中位数0.51倍（精达股份0.51、金田股份0.10、露笑科技2.72）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约6.83%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估值倍数由程序按2026-10-30收盘数据计算（滚动十二个月口径）；同行倍数按2026-10-30收盘数据同口径计算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14.25倍市盈率计，若投资者要求年化8%的回报、10年后按15倍市盈率估值，每股收益需年均增长约7.4%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PE(TTM)14.25倍处近5.2年4%分位、中位数22.39倍，PS 0.35倍处11%分位，PB 2.1倍处56%分位；价格隐含每股收益年化约7.4%增长，远低于Q3扣非58%的增速，估值更多反映现金流为负与加工费难升的担忧，而非增长预期。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机构观点</w:t>
      </w:r>
    </w:p>
    <w:p>
      <w:pPr>
        <w:spacing w:after="160" w:line="300"/>
      </w:pPr>
      <w:r>
        <w:rPr>
          <w:sz w:val="22"/>
          <w:szCs w:val="22"/>
        </w:rPr>
        <w:t xml:space="preserve">无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2026年12月下旬至2027年1月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上交所公布2026年报预约披露时间表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确认年报披露日；若落在4月下旬之前，年报与一季报或分开披露，关注提前披露是否伴随业绩快报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2027年4月中下旬（按历史惯例推断）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2026年年报及2027年一季报披露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经营现金流能否转正、应收与存货增速是否回落；Q4单季利润增速能否维持Q3的50%以上水平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2027年4月（随年报披露，推断）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2026年度利润分配预案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派息率能否维持2025年度10派12元的高分红力度；低于预期则估值支撑削弱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2027年5-6月（按历史惯例推断）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2026年度分红除权除息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股权登记日与除权日安排，除权后是否有填权动能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2026-10-27 三季报单季利润加速，Q3扣非增58%（利好）</w:t>
      </w:r>
      <w:r>
        <w:rPr>
          <w:sz w:val="22"/>
          <w:szCs w:val="22"/>
        </w:rPr>
        <w:t xml:space="preserve">：Q3营收41.38亿元(+30.95%)、扣非1.20亿元(+58.07%)，增速远快于H1（归母仅+3.25%）。公司归因销量增长，铜价推高收入。但前三季度经营现金流净额-1279.52万元（同比-101.30%），利润与现金流背离。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2026-09-23 中期分红10派2元实施完毕（中性）</w:t>
      </w:r>
      <w:r>
        <w:rPr>
          <w:sz w:val="22"/>
          <w:szCs w:val="22"/>
        </w:rPr>
        <w:t xml:space="preserve">：2026年9月23日除权除息，合计派现4128.71万元，约占H1归母净利29%，低于2025年中期10派3元。公司维持中期+年度两次分派惯例。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2026-09-30 Q3股东户数环比增64%，筹码分散（利空）</w:t>
      </w:r>
      <w:r>
        <w:rPr>
          <w:sz w:val="22"/>
          <w:szCs w:val="22"/>
        </w:rPr>
        <w:t xml:space="preserve">：股东户数由6月末1.98万户增至约3.26万户。叠加4月公司曾提示市场情绪过热、9月中至10月27日股价回落约19%，业绩超预期或已被提前交易。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Q3单季扣非1.20亿元同比+58.07%，增速较H1归母+3.25%显著抬升，盈利拐点确立。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PE(TTM)14.25倍处近5.2年4%分位、中位数22.39倍，股息率约6.83%提供估值缓冲。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前五大客户合计29.59%、最大仅7.96%，客户分散降低单一客户波动风险。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前三季度经营现金流净额-1279.52万元(同比-101.30%)，利润与现金流背离。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毛利率仅4.56%、主业4.74%，铜价占成本93.89%完全被动传导，加工费无提升空间。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股东户数由6月末1.98万户增至约3.26万户(+64%)，筹码分散、承接力减弱。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铜价大幅上涨→收入虚增但毛利率摊薄，加工利润难同步，净利率承压。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资产负债率67.32%较2025年末63.01%上升，杠杆提高推升财务费用侵蚀利润。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前五名供应商采购占比95.04%、第一名单家31.91%，铜杆供应集中，断供或提价冲击成本。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2026年度分红若低于2025年度10派12元→高股息支撑削弱，估值下沿松动。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前三季度-1279.52万元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2026年报转正且全年现金/净利&gt;1倍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全年仍为负，现金转化持续恶化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单季扣非增速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 +58.07%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Q4单季扣非增速维持50%以上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Q4单季扣非增速回落至20%以下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前三季度4.56%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2026全年毛利率回到4.7%以上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全年毛利率跌破4.3%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年度分红预案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2025年度10派12元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2026年度派息率维持或提高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派息率明显低于2025年度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风险提示：以下为基于2026-10-30收盘数据的主观情景推演，不构成投资建议。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自10月8日30.28元高点回落16%，现处MA20下方、贴近布林下轨，中期趋势仍偏弱；但MACD柱线转正、单日放量1.55倍且主力大单净流入0.08亿元，短线在23元一带出现止跌迹象，方向选择取决于能否收复25.2元一线。PE处5.2年4%分位，估值对下行有一定缓冲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均线排列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25.10 / MA10 25.19 / MA20 26.23 / MA60 28.43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股价与短均线均在MA20之下，空头排列未改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-1.064 / DEA -1.084 / 柱 0.039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零轴下方柱线连续两日为正，下跌动能衰减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42.8 / RSI14 40.7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弱势区但未超卖，反弹空间与下探空间并存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29.40 / 中轨 26.23 / 下轨 23.06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价格贴近下轨运行，中轨构成中期压力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量能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最新一日为近20日均量1.55倍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下跌末端放量，多空分歧加大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25.1~25.2元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MA5/MA10粘合处，收复则打开向MA20（26.23元）修复空间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23.1~23.5元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布林下轨23.06元与10月23日低点23.14元重合，跌破则重回弱势下探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20.5~21.0元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52周低点20.49元（7月21日），失守则创年内新低、下行空间打开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以2026-10-30价格24.89元为基准，用近300个交易日的收益分布（按当前指数加权日波动率约3.5%缩放，保留这只股票自身的大涨大跌频率）推算未来5个交易日的收盘价范围：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22.96～26.80元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-7.8%～+7.7%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21.50～31.23元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-13.6%～+25.5%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：在23.1~25.2元区间反复，量能回落至日均1.5亿元以下，无新增催化，等待方向选择。按历史波动率测算，一周后收盘落在该区间的概率约35%。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：若跌破23.06元布林下轨且成交额放大至3亿元以上，将向下测试22元附近，极端情形看21元。按历史波动率测算，一周后收盘落在该区间的概率约15%。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：需放量站稳25.2元并伴随板块回暖或Q3业绩持续发酵，方可上攻26.2元MA20一带。按历史波动率测算，一周后收盘落在该区间的概率约20%。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日成交额0.83亿~3.80亿元、换手率1.54%~6.96%，最新一日2.21亿元/4.24%；前十大流通股东合计62.24%（截至2026-09-30），前三大为控股型公司及两名自然人共58.35%，公募、QFII合计仅约2.4%，实际可交易筹码偏薄，披露后结构可能已变。小盘低机构参与度意味着盘口承接有限、波动放大。</w:t>
      </w:r>
    </w:p>
    <w:p>
      <w:pPr>
        <w:spacing w:after="160" w:line="300"/>
      </w:pPr>
      <w:r>
        <w:rPr>
          <w:sz w:val="22"/>
          <w:szCs w:val="22"/>
        </w:rPr>
        <w:t xml:space="preserve">若单日成交额持续放大至3亿元以上且股价站上25.2元，可视为资金介入确认信号。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-30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 | 全球前三电磁线制造厂家_高端漆包线定制生产商 — http://www.grandwall.com.cn/content?105.html#/home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浙江长城电工科技股份有限公司2024年年度报告摘要 - 2025年 — https://paper.cnstock.com/html/2025-04/02/content_2044337.htm#1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公司代码：603897 — http://dataclouds.cninfo.com.cn/shgonggao/hsomarket/2026/20260421/890a1ea0e6fb41cdad9190c8c6167029.PDF#1#1#1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长城科技上半年营收增约两成 净利增速仅个位数 - 长城科技上半年营收增约两成 净利增速仅个位数 — https://www.workercn.cn/c/2026-08-13/8869192.shtml#1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603897 长城科技 — https://emweb.securities.eastmoney.com/BusinessAnalysis/Index?code=sh603897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长城科技(603897)_公司公告_长城科技：2026年半年度报告新浪财经_新浪网 - √适用□不适用公司自成立以来始终坚守电磁线主业，随着新能源汽车、风电、光伏、储能、智能电网、机器人、AI数据中心、高端装备等新兴领域的不断发展，公司在高端制造业领域、新兴领域深耕多年，凭借核心技术壁垒、专业化人才梯队与现代化治理体系，实现高质量、可持续发展... — http://money.finance.sina.com.cn/corp/view/vCB_AllBulletinDetail.php?stockid=603897&amp;id=12487622#2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长城科技: 长城科技2025年年度报告摘要 - 浙江长城电工科技股份有限公司2025 年年度报告摘要 — https://stock.stockstar.com/notice/SN2026042100046202.shtml#1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长城科技:长城科技2025年年度报告摘要_九方智投 - 全球指数 — https://www.9fzt.com/detail/sh_603897_9_7917b2fba4d06234f1b7280065318309.html#1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长城科技2026年第三季度报告 — https://static.cninfo.com.cn/finalpage/2026-10-28/1225628750.PDF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长城科技2025年年度报告 — https://static.cninfo.com.cn/finalpage/2026-04-22/1225136180.PDF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长城科技2023年年度报告 — https://static.cninfo.com.cn/finalpage/2024-04-26/1219816542.PDF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腾讯财经行情（2026-10-30） — https://gu.qq.com/sh603897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合并资产负债表（2026三季报） — https://emweb.securities.eastmoney.com/pc_hsf10/pages/index.html?type=web&amp;code=SH603897#/cwfx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https://emweb.securities.eastmoney.com/pc_hsf10/pages/index.html?type=web&amp;code=SH603897#/ylyc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长城科技:长城科技2026年第三季度报告 — https://pdf.dfcfw.com/pdf/H2_AN202610271831028722_1.pdf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长城科技:长城科技2026年半年度报告 — https://pdf.dfcfw.com/pdf/H2_AN202608111827856367_1.pdf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长城科技：2026年前三季度净利润约2.60亿元 — https://m.nbd.com.cn/articles/2026-10-27/4620575.html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三季报长城科技(603897):长城科技2026年第三季度报告 - 三季报长城科技(603897):长城科技2026年第三季度报告 — https://vipwt1.cfi.net.cn/p20261027002468.html#1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长城科技第三季度归母净利润1.18亿元，同比增长52.4% — https://www.sohu.com/a/1093429613_122014422?scm=10001.325_13-325_13.0.0-1-0-0-0.5_1334&amp;spm=smpc.channel_248.block3_308_NDdFbm_1_fd.167.1793092518642pDoERhi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长城科技(603897.SH)发布前三季度业绩，归母净利润2.6亿元，同比增长21.01% 提供者 智通财经 — https://cn.investing.com/news/stock-market-news/article-3630565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长城科技(603897) — https://data.eastmoney.com/stockcalendar/603897.html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长城科技(603897.SH)发布前三季度业绩，归母净利润2.6亿元，同比增长21.01% — https://m.hexun.com/tech/2026-10-27/225181967.html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 - 长城科技 — http://vip.stock.finance.sina.com.cn/corp/view/vCB_AllBulletinDetail.php?stockid=603897&amp;id=12665046#1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长城科技:长城科技2026年第三季度报告 _ 长城科技(603897) _ 公告正文 - 长城科技:长城科技2026年第三季度报告 查看PDF原文 — https://data.eastmoney.com/notices/detail/603897/AN202610271831028722.html#1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https://data.eastmoney.com/zjlx/603897.html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https://emweb.securities.eastmoney.com/pc_hsf10/pages/index.html?type=web&amp;code=SH603897#/gdyj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2026-10-31T16:22:33.175Z</dcterms:created>
  <dcterms:modified xsi:type="dcterms:W3CDTF">2026-10-31T16:22:33.175Z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