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法狮龙 (605318)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行业：集成吊顶与顶墙定制</w:t>
      </w:r>
    </w:p>
    <w:p>
      <w:pPr>
        <w:jc w:val="center"/>
      </w:pPr>
      <w:r>
        <w:rPr>
          <w:color w:val="595959"/>
          <w:sz w:val="22"/>
          <w:szCs w:val="22"/>
        </w:rPr>
        <w:t xml:space="preserve">报告日期：2026年10月23日</w:t>
      </w:r>
    </w:p>
    <w:p>
      <w:pPr>
        <w:jc w:val="center"/>
      </w:pPr>
      <w:r>
        <w:rPr>
          <w:color w:val="595959"/>
          <w:sz w:val="20"/>
          <w:szCs w:val="20"/>
        </w:rPr>
        <w:t xml:space="preserve">行情截至2026-10-22收盘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核心结论：主业亏损扩大，14倍PB与17.7倍PS所定价的算力叙事尚未兑现</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69.82元（-5.11%）</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约87.78亿元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亏损，不适用</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44.00～143.90元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近10日0.46~2.97亿元/0.54%~3.19%</w:t>
            </w:r>
          </w:p>
        </w:tc>
      </w:tr>
    </w:tbl>
    <w:p>
      <w:pPr>
        <w:spacing w:before="200"/>
      </w:pPr>
    </w:p>
    <w:p>
      <w:pPr>
        <w:spacing w:after="200"/>
      </w:pPr>
      <w:r>
        <w:rPr>
          <w:i/>
          <w:iCs/>
          <w:color w:val="595959"/>
          <w:sz w:val="18"/>
          <w:szCs w:val="18"/>
        </w:rPr>
        <w:t xml:space="preserve">行情数据截至：2026-10-22收盘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毛利率连升却亏损扩大，减亏逻辑失效</w:t>
      </w:r>
      <w:r>
        <w:rPr>
          <w:sz w:val="22"/>
          <w:szCs w:val="22"/>
        </w:rPr>
        <w:t xml:space="preserve">：2026中报毛利率23.97%、销售费用率降2.75pp，归母亏损1315万元同比-72.8%，Q2单季亏损同比-3587%，管理费用+39.73%、北宸星穹亏1158万元。</w:t>
      </w:r>
    </w:p>
    <w:p>
      <w:pPr>
        <w:pStyle w:val="ListParagraph"/>
        <w:numPr>
          <w:ilvl w:val="0"/>
          <w:numId w:val="2"/>
        </w:numPr>
        <w:spacing w:after="80" w:line="280"/>
      </w:pPr>
      <w:r>
        <w:rPr>
          <w:b/>
          <w:bCs/>
          <w:sz w:val="22"/>
          <w:szCs w:val="22"/>
        </w:rPr>
        <w:t xml:space="preserve">短期利润仍被新业务费用与主业缩量压制</w:t>
      </w:r>
      <w:r>
        <w:rPr>
          <w:sz w:val="22"/>
          <w:szCs w:val="22"/>
        </w:rPr>
        <w:t xml:space="preserve">：算力相关收入占比约5%，全域算力网络未产生收入；吊顶收入2025年-15.17%，工程类项目主动压缩，管理层未给算力收入量化指引。</w:t>
      </w:r>
    </w:p>
    <w:p>
      <w:pPr>
        <w:pStyle w:val="ListParagraph"/>
        <w:numPr>
          <w:ilvl w:val="0"/>
          <w:numId w:val="2"/>
        </w:numPr>
        <w:spacing w:after="80" w:line="280"/>
      </w:pPr>
      <w:r>
        <w:rPr>
          <w:b/>
          <w:bCs/>
          <w:sz w:val="22"/>
          <w:szCs w:val="22"/>
        </w:rPr>
        <w:t xml:space="preserve">估值与基本面严重脱节</w:t>
      </w:r>
      <w:r>
        <w:rPr>
          <w:sz w:val="22"/>
          <w:szCs w:val="22"/>
        </w:rPr>
        <w:t xml:space="preserve">：收盘69.82元、市值87.78亿元，PB 14倍（近5.2年88%分位）、PS 17.73倍（91%分位）；2025年营收5.24亿元，一致预期2026年净利仅0.03亿元。</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：一致预期2026年扭亏至0.03亿元、2027年净利+166.7%，但PS 17.73倍、PB 14倍远超同行，价格实际定价的是算力业务从小基数放量，而非主业修复。</w:t>
      </w:r>
    </w:p>
    <w:p>
      <w:pPr>
        <w:pStyle w:val="ListParagraph"/>
        <w:numPr>
          <w:ilvl w:val="0"/>
          <w:numId w:val="2"/>
        </w:numPr>
        <w:spacing w:after="80" w:line="280"/>
      </w:pPr>
      <w:r>
        <w:rPr>
          <w:b/>
          <w:bCs/>
          <w:sz w:val="22"/>
          <w:szCs w:val="22"/>
        </w:rPr>
        <w:t xml:space="preserve">证据显示</w:t>
      </w:r>
      <w:r>
        <w:rPr>
          <w:sz w:val="22"/>
          <w:szCs w:val="22"/>
        </w:rPr>
        <w:t xml:space="preserve">：算力收入仅占约5%、全域算力网络尚无收入，2026H1亏损反而扩大72.8%，年内扭亏需下半年净利逾0.16亿元；现有证据与扭亏预期尚未吻合，与算力叙事差距更大。</w:t>
      </w:r>
    </w:p>
    <w:p>
      <w:pPr>
        <w:spacing w:after="160" w:line="300"/>
      </w:pPr>
      <w:r>
        <w:rPr>
          <w:b/>
          <w:bCs/>
          <w:color w:val="1F4E79"/>
          <w:sz w:val="22"/>
          <w:szCs w:val="22"/>
        </w:rPr>
        <w:t xml:space="preserve">证据倾向：偏空；置信度：低（仅1家机构覆盖、个别数字与行情或财报数据不一致）</w:t>
      </w:r>
    </w:p>
    <w:p>
      <w:pPr>
        <w:spacing w:after="160" w:line="300"/>
      </w:pPr>
      <w:r>
        <w:rPr>
          <w:sz w:val="22"/>
          <w:szCs w:val="22"/>
        </w:rPr>
        <w:t xml:space="preserve">主业亏损扩大、现金流与负债恶化，估值高分位且远超同行，方向与估值同向偏空，但算力业务存在期权价值。</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面向住宅装修市场，以买断式经销为主销售集成吊顶与集成墙面，赚品牌与规模摊薄的加工利润。</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集成吊顶</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78.6%（2025年）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20.31%</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-15.17%</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收入占比近八成，毛利率回升5.85pp但收入下滑</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集成墙面</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15.1%（2025年）</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27.11%</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-0.62%</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第二曲线五年未放量，收入基本走平</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其他（配件/辅材等）</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5.7%（2025年）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28.52%</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-30.87%</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体量小，毛利率同比降14.24pp</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其他业务（非主营）</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0.6%（2025年）</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约67%</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非主营业务，占比极小</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竞争优势强度：弱</w:t>
      </w:r>
    </w:p>
    <w:p>
      <w:pPr>
        <w:pStyle w:val="ListParagraph"/>
        <w:numPr>
          <w:ilvl w:val="0"/>
          <w:numId w:val="2"/>
        </w:numPr>
        <w:spacing w:after="80" w:line="280"/>
      </w:pPr>
      <w:r>
        <w:rPr>
          <w:sz w:val="22"/>
          <w:szCs w:val="22"/>
        </w:rPr>
        <w:t xml:space="preserve">品牌与行业组织地位：参与制定15项行业标准，任多个行业协会副会长单位，但多为历年累积静态资质</w:t>
      </w:r>
    </w:p>
    <w:p>
      <w:pPr>
        <w:pStyle w:val="ListParagraph"/>
        <w:numPr>
          <w:ilvl w:val="0"/>
          <w:numId w:val="2"/>
        </w:numPr>
        <w:spacing w:after="80" w:line="280"/>
      </w:pPr>
      <w:r>
        <w:rPr>
          <w:sz w:val="22"/>
          <w:szCs w:val="22"/>
        </w:rPr>
        <w:t xml:space="preserve">渠道资产：买断式经销，2025年招商建店145家、升级212家，终端1800+家，不承担终端库存</w:t>
      </w:r>
    </w:p>
    <w:p>
      <w:pPr>
        <w:pStyle w:val="ListParagraph"/>
        <w:numPr>
          <w:ilvl w:val="0"/>
          <w:numId w:val="2"/>
        </w:numPr>
        <w:spacing w:after="80" w:line="280"/>
      </w:pPr>
      <w:r>
        <w:rPr>
          <w:sz w:val="22"/>
          <w:szCs w:val="22"/>
        </w:rPr>
        <w:t xml:space="preserve">规模与产能证据不足：产业园面积口径存冲突，1800万平方米年产能为单一券商表述，年报未见产销量披露</w:t>
      </w:r>
    </w:p>
    <w:p>
      <w:pPr>
        <w:spacing w:after="160" w:line="300"/>
      </w:pPr>
      <w:r>
        <w:rPr>
          <w:sz w:val="22"/>
          <w:szCs w:val="22"/>
        </w:rPr>
        <w:t xml:space="preserve">主要威胁：需求绑定地产竣工与二手房翻新，收入连续三年下滑；上游铝价无议价权、下游渠道费用挤压，盈利已跌破盈亏平衡。</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实际采购铝材/铝板、OEM电器模块、木塑墙面材料及委托加工，2025年前五大供应商占总采购额38.28%，对铝价基本无议价权、属价格接受者</w:t>
      </w:r>
    </w:p>
    <w:p>
      <w:pPr>
        <w:pStyle w:val="ListParagraph"/>
        <w:numPr>
          <w:ilvl w:val="0"/>
          <w:numId w:val="2"/>
        </w:numPr>
        <w:spacing w:after="80" w:line="280"/>
      </w:pPr>
      <w:r>
        <w:rPr>
          <w:sz w:val="22"/>
          <w:szCs w:val="22"/>
        </w:rPr>
        <w:t xml:space="preserve">2024年报明确将净利大降归因于原材料平均价格上涨导致毛利率下降，公司自认成本转嫁能力有限</w:t>
      </w:r>
    </w:p>
    <w:p>
      <w:pPr>
        <w:pStyle w:val="ListParagraph"/>
        <w:numPr>
          <w:ilvl w:val="0"/>
          <w:numId w:val="2"/>
        </w:numPr>
        <w:spacing w:after="80" w:line="280"/>
      </w:pPr>
      <w:r>
        <w:rPr>
          <w:sz w:val="22"/>
          <w:szCs w:val="22"/>
        </w:rPr>
        <w:t xml:space="preserve">以买断式经销为主，经销商自行建店安装，公司不承担终端库存，但需以返利、装修支持和销售费用换取渠道忠诚度（2025年销售费用率9.38%）</w:t>
      </w:r>
    </w:p>
    <w:p>
      <w:pPr>
        <w:pStyle w:val="ListParagraph"/>
        <w:numPr>
          <w:ilvl w:val="0"/>
          <w:numId w:val="2"/>
        </w:numPr>
        <w:spacing w:after="80" w:line="280"/>
      </w:pPr>
      <w:r>
        <w:rPr>
          <w:sz w:val="22"/>
          <w:szCs w:val="22"/>
        </w:rPr>
        <w:t xml:space="preserve">工程业务为辅助，2026H1主动压缩工程类项目规模，反映工程端账期或毛利质量不佳</w:t>
      </w:r>
    </w:p>
    <w:p>
      <w:pPr>
        <w:pStyle w:val="ListParagraph"/>
        <w:numPr>
          <w:ilvl w:val="0"/>
          <w:numId w:val="2"/>
        </w:numPr>
        <w:spacing w:after="80" w:line="280"/>
      </w:pPr>
      <w:r>
        <w:rPr>
          <w:sz w:val="22"/>
          <w:szCs w:val="22"/>
        </w:rPr>
        <w:t xml:space="preserve">2025年前五大客户合计销售4,697.52万元、占营业收入8.97%（单一来源，待年报原文核实）；客户高度分散，单一客户依赖风险低。</w:t>
      </w:r>
    </w:p>
    <w:p>
      <w:pPr>
        <w:pStyle w:val="ListParagraph"/>
        <w:numPr>
          <w:ilvl w:val="0"/>
          <w:numId w:val="2"/>
        </w:numPr>
        <w:spacing w:after="80" w:line="280"/>
      </w:pPr>
      <w:r>
        <w:rPr>
          <w:sz w:val="22"/>
          <w:szCs w:val="22"/>
        </w:rPr>
        <w:t xml:space="preserve">2025年经营现金流净额+5,530万元（同比+210%），收入降14%而现金流大增，更可能来自收缩采购与费用支付、消化存货；应收/应付/存货周转数据未披露，买断制下应收占比低仅为推断。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27.58%</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8.86%</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铝等大宗涨价启动，收入+48%摊薄部分成本压力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25.90%</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地产链需求转弱、铝价高位，量价同时受压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26.66%</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1.73%</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收入创7.40亿元新高，规模效应支撑，但费用加大</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17.82%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-4.75%</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年报归因原材料平均价格上涨，吊顶毛利率骤降10.95pp</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22.09%</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-1.27%</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成本精细管控+铝价回落，收入-14%属缩量保毛利</w:t>
            </w:r>
          </w:p>
        </w:tc>
      </w:tr>
    </w:tbl>
    <w:p>
      <w:pPr>
        <w:spacing w:before="200"/>
      </w:pPr>
    </w:p>
    <w:p>
      <w:pPr>
        <w:spacing w:after="160" w:line="300"/>
      </w:pPr>
      <w:r>
        <w:rPr>
          <w:sz w:val="22"/>
          <w:szCs w:val="22"/>
        </w:rPr>
        <w:t xml:space="preserve">处于微笑曲线中段偏下游的“品牌+渠道组装型”位置，上游铝材价格接受者、下游以销售费用换渠道，赚品牌溢价与规模摊薄的中间加工利润。毛利率进一步改善只能靠铝价回落（外生）、高毛利墙面放量（暂未验证）或砍低毛利工程+费用压缩；2026H1毛利率升至23.97%但亏损扩大，收入恢复增长前毛利率回升不构成竞争力改善证据。</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集成吊顶形成长三角、珠三角两大产业基地，需求与住宅装修强相关，当前处于存量竞争阶段，行业扩张动能减弱、公司收入连续下滑印证份额承压。</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友邦吊顶（002718.SZ）</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集成吊顶上市品牌商，同处嘉兴</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PE(TTM) 7798.77倍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同产业基地、同渠道模式，最直接对标</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奥普科技（603551.SH）</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浴霸起家延伸集成吊顶</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PE(TTM) 12.48倍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电器基因与品牌力更强，规模通常更大</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鼎美、美尔凯特（未上市）</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区域顶墙品牌</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价格竞争主要来源</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亚厦股份（002375.SZ）</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装配式内装/工装企业</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PE(TTM) 14.64倍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工程总包模式，与零售经销不完全可比</w:t>
            </w:r>
          </w:p>
        </w:tc>
      </w:tr>
    </w:tbl>
    <w:p>
      <w:pPr>
        <w:spacing w:before="200"/>
      </w:pPr>
    </w:p>
    <w:p>
      <w:pPr>
        <w:spacing w:after="160" w:line="300"/>
      </w:pPr>
      <w:r>
        <w:rPr>
          <w:sz w:val="22"/>
          <w:szCs w:val="22"/>
        </w:rPr>
        <w:t xml:space="preserve">相对友邦、奥普，法狮龙规模与品牌均不占明显优势，2025年5.24亿元收入属中小体量；差异在顶墙一体化方案与经销门店密度，但墙面五年未放量，一体化优势尚未兑现。</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2026中报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2.02亿元人民币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-12.39%</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-0.13亿元人民币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-72.80%</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-52.85%</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23.97%</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5.24亿元人民币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-14.07%</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-0.07亿元人民币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+77.00%</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+65.80%</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22.09%</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6.10亿元人民币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-17.62%</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-0.29亿元人民币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-325.69%</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-173.03%</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17.83%</w:t>
            </w:r>
          </w:p>
        </w:tc>
      </w:tr>
    </w:tbl>
    <w:p>
      <w:pPr>
        <w:spacing w:before="200"/>
      </w:pPr>
    </w:p>
    <w:p>
      <w:pPr>
        <w:spacing w:after="200"/>
      </w:pPr>
      <w:r>
        <w:rPr>
          <w:i/>
          <w:iCs/>
          <w:color w:val="595959"/>
          <w:sz w:val="18"/>
          <w:szCs w:val="18"/>
        </w:rPr>
        <w:t xml:space="preserve">营业收入与归母净利润按同期间官方报表及明确币种列示；调整后盈利与法定利润分别比较。表中营业收入、归母净利润共5项，5项与发行人定期报告原文逐项比对一致。同比增速按原文本期、上期数推算了5项，5项与表中一致。</w:t>
      </w:r>
    </w:p>
    <w:p>
      <w:pPr>
        <w:spacing w:after="160" w:line="300"/>
      </w:pPr>
      <w:r>
        <w:rPr>
          <w:sz w:val="22"/>
          <w:szCs w:val="22"/>
        </w:rPr>
        <w:t xml:space="preserve">收入连续两年下滑，2026上半年降幅收窄至12%，但归母亏损扩大至1315万元，Q2单季归母同比-3587%。毛利率连续回升2.63个百分点至23.97%、销售费用率降2.75个百分点，减亏未兑现，因管理费用增39.73%及新业务子公司北宸星穹亏1158万元。</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加权ROE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-2.07%（2026中报）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连续亏损，净资产回报为负</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40.1%（2026中报）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较2025年末35.5%上升，借款增加</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有息负债率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24.89%（2026中报）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短期借款2.2亿元，利息保障倍数-2.2倍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经营现金流净额</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-0.15亿元（2026中报）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上年同期-0.14亿元，连续为负</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应收账款周转天数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21.7天（2026中报）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较2025年27.6天缩短，工程业务收缩见效</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流动比率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1.23（2026中报）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较2025年末1.65下降，短期偿付缓冲变薄</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亏损，不适用</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—（同口径历史样本不足）</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中位数14.64倍（友邦吊顶7798.77、奥普科技12.48、亚厦股份14.64）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近5.2年88%分位（中位数2.65倍）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中位数2.64倍（友邦吊顶11.17、奥普科技2.64、亚厦股份0.59）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17.73倍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近5.2年91%分位（中位数3.36倍）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中位数1.78倍（友邦吊顶22.99、奥普科技1.78、亚厦股份0.58）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200"/>
      </w:pPr>
      <w:r>
        <w:rPr>
          <w:i/>
          <w:iCs/>
          <w:color w:val="595959"/>
          <w:sz w:val="18"/>
          <w:szCs w:val="18"/>
        </w:rPr>
        <w:t xml:space="preserve">估值倍数由程序按2026-10-22收盘数据计算（滚动十二个月口径）；同行倍数按2026-10-22收盘数据同口径计算</w:t>
      </w:r>
    </w:p>
    <w:p>
      <w:pPr>
        <w:spacing w:after="160" w:line="300"/>
      </w:pPr>
      <w:r>
        <w:rPr>
          <w:sz w:val="22"/>
          <w:szCs w:val="22"/>
        </w:rPr>
        <w:t xml:space="preserve">PB 14倍、PS 17.73倍分别处近5.2年88%、91%分位，中位数仅2.65倍与3.36倍；奥普科技PB 2.64倍、亚厦股份0.59倍。价格隐含算力业务规模放量，而一致预期2026年净利仅0.03亿元，估值悬空于盈利之上。</w:t>
      </w:r>
    </w:p>
    <w:p>
      <w:pPr>
        <w:pStyle w:val="Heading2"/>
        <w:spacing w:after="120" w:before="240"/>
      </w:pPr>
      <w:r>
        <w:rPr>
          <w:b/>
          <w:bCs/>
          <w:color w:val="2E74B5"/>
          <w:sz w:val="24"/>
          <w:szCs w:val="24"/>
        </w:rPr>
        <w:t xml:space="preserve">4.2 机构预测（单家，非一致预期）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5.62亿元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0.03亿元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扭亏</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0.03元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+166.7%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6.41亿元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0.12亿元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+50.0%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0.09元</w:t>
            </w:r>
          </w:p>
        </w:tc>
      </w:tr>
    </w:tbl>
    <w:p>
      <w:pPr>
        <w:spacing w:before="200"/>
      </w:pPr>
    </w:p>
    <w:p>
      <w:pPr>
        <w:spacing w:after="200"/>
      </w:pPr>
      <w:r>
        <w:rPr>
          <w:i/>
          <w:iCs/>
          <w:color w:val="595959"/>
          <w:sz w:val="18"/>
          <w:szCs w:val="18"/>
        </w:rPr>
        <w:t xml:space="preserve">东方财富近六个月研报汇总，截至2026-10-23。可见机构研报明细，评级人数另计：2026E净利润1家、EPS1家；2027E净利润1家、EPS1家；2028E净利润1家、EPS1家</w:t>
      </w:r>
    </w:p>
    <w:p>
      <w:pPr>
        <w:pStyle w:val="Heading2"/>
        <w:spacing w:after="120" w:before="240"/>
      </w:pPr>
      <w:r>
        <w:rPr>
          <w:b/>
          <w:bCs/>
          <w:color w:val="2E74B5"/>
          <w:sz w:val="24"/>
          <w:szCs w:val="24"/>
        </w:rPr>
        <w:t xml:space="preserve">4.3 机构观点</w:t>
      </w:r>
    </w:p>
    <w:p>
      <w:pPr>
        <w:spacing w:after="160" w:line="300"/>
      </w:pPr>
      <w:r>
        <w:rPr>
          <w:sz w:val="22"/>
          <w:szCs w:val="22"/>
        </w:rPr>
        <w:t xml:space="preserve">暂无可引用的机构目标价。</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近6个月1家机构（未具名）</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2026-10-23前6个月内</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无目标价</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披露2026年三季报</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算力新业务收入占比能否较5%台阶式提升；管理费用与折旧拖累下亏损是否收窄；经营现金流能否转正。占比无明显提升即视为转型叙事不及预期。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2027年9-11月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三笔协议转让股份限售解禁</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屹华山汇13.93%、周福海5.36%、博智兴宇6.00%合计25.29%锁定到期（按24个月承诺推算），关注是否出现减持计划。</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2026-08-25 半年报亏损扩大，算力新业务收入占比约5%（中性）</w:t>
      </w:r>
      <w:r>
        <w:rPr>
          <w:sz w:val="22"/>
          <w:szCs w:val="22"/>
        </w:rPr>
        <w:t xml:space="preserve">：营收2.02亿元同比-12.39%，归母净亏损1,315万元同比扩大72.8%，毛利率升至23.97%。算力调度与边缘服务已产生收入、占营收约5%，全域算力网络仍处建设期未贡献收入；管理费用同比+39.73%先于收入。公司明确半年度不分配。</w:t>
      </w:r>
    </w:p>
    <w:p>
      <w:pPr>
        <w:pStyle w:val="ListParagraph"/>
        <w:numPr>
          <w:ilvl w:val="0"/>
          <w:numId w:val="2"/>
        </w:numPr>
        <w:spacing w:after="80" w:line="280"/>
      </w:pPr>
      <w:r>
        <w:rPr>
          <w:b/>
          <w:bCs/>
          <w:sz w:val="22"/>
          <w:szCs w:val="22"/>
        </w:rPr>
        <w:t xml:space="preserve">2026-09-09 股东会通过增资顾望金华并新设三家控股子公司（中性）</w:t>
      </w:r>
      <w:r>
        <w:rPr>
          <w:sz w:val="22"/>
          <w:szCs w:val="22"/>
        </w:rPr>
        <w:t xml:space="preserve">：对顾望金华增资8,700万元（公司出资5,220万元，持股仍60%），并联合关联方设立开阳智造、瑶光景泰、天权智策三家控股子公司，构成关联交易。议案以99.82%同意通过，后续仅剩工商登记与出资到位，无监管审核环节。</w:t>
      </w:r>
    </w:p>
    <w:p>
      <w:pPr>
        <w:pStyle w:val="ListParagraph"/>
        <w:numPr>
          <w:ilvl w:val="0"/>
          <w:numId w:val="2"/>
        </w:numPr>
        <w:spacing w:after="80" w:line="280"/>
      </w:pPr>
      <w:r>
        <w:rPr>
          <w:b/>
          <w:bCs/>
          <w:sz w:val="22"/>
          <w:szCs w:val="22"/>
        </w:rPr>
        <w:t xml:space="preserve">2026-08-27 业绩说明会：无半年度分红，算力业务无量化指引（中性）</w:t>
      </w:r>
      <w:r>
        <w:rPr>
          <w:sz w:val="22"/>
          <w:szCs w:val="22"/>
        </w:rPr>
        <w:t xml:space="preserve">：公司称暂无半年度利润分配安排，对算力新业务未给出收入或盈利的量化指引。管理层表态显示转型兑现节奏仍不可验证，三季度报告成为下一个观察点。</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毛利率从2024年17.83%升至2026H1的23.97%，铝价回落与费用管控若延续，主业亏损有收窄空间。</w:t>
      </w:r>
    </w:p>
    <w:p>
      <w:pPr>
        <w:pStyle w:val="ListParagraph"/>
        <w:numPr>
          <w:ilvl w:val="0"/>
          <w:numId w:val="2"/>
        </w:numPr>
        <w:spacing w:after="80" w:line="280"/>
      </w:pPr>
      <w:r>
        <w:rPr>
          <w:sz w:val="22"/>
          <w:szCs w:val="22"/>
        </w:rPr>
        <w:t xml:space="preserve">算力调度与边缘服务已贡献约5%营收，若三季报占比台阶式提升，叙事可获初步数据支撑。</w:t>
      </w:r>
    </w:p>
    <w:p>
      <w:pPr>
        <w:pStyle w:val="ListParagraph"/>
        <w:numPr>
          <w:ilvl w:val="0"/>
          <w:numId w:val="2"/>
        </w:numPr>
        <w:spacing w:after="80" w:line="280"/>
      </w:pPr>
      <w:r>
        <w:rPr>
          <w:sz w:val="22"/>
          <w:szCs w:val="22"/>
        </w:rPr>
        <w:t xml:space="preserve">应收账款周转天数缩短至21.7天，主动压缩工程业务改善了回款质量。</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归母亏损同比扩大72.8%、Q2单季-3587%，毛利率和销售费用率改善没能传导到利润。</w:t>
      </w:r>
    </w:p>
    <w:p>
      <w:pPr>
        <w:pStyle w:val="ListParagraph"/>
        <w:numPr>
          <w:ilvl w:val="0"/>
          <w:numId w:val="2"/>
        </w:numPr>
        <w:spacing w:after="80" w:line="280"/>
      </w:pPr>
      <w:r>
        <w:rPr>
          <w:sz w:val="22"/>
          <w:szCs w:val="22"/>
        </w:rPr>
        <w:t xml:space="preserve">有息负债率24.89%、短期借款2.2亿元，利息保障倍数-2.2倍，经营现金流中报-0.15亿元。</w:t>
      </w:r>
    </w:p>
    <w:p>
      <w:pPr>
        <w:pStyle w:val="ListParagraph"/>
        <w:numPr>
          <w:ilvl w:val="0"/>
          <w:numId w:val="2"/>
        </w:numPr>
        <w:spacing w:after="80" w:line="280"/>
      </w:pPr>
      <w:r>
        <w:rPr>
          <w:sz w:val="22"/>
          <w:szCs w:val="22"/>
        </w:rPr>
        <w:t xml:space="preserve">PB 14倍处88%分位、PS 17.73倍处91%分位，而奥普科技PB 2.64倍、亚厦股份0.59倍。</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算力业务若持续无量化收入指引，高估值失去支撑→PS向历史中位数3.36倍回归将显著压缩市值。</w:t>
      </w:r>
    </w:p>
    <w:p>
      <w:pPr>
        <w:pStyle w:val="ListParagraph"/>
        <w:numPr>
          <w:ilvl w:val="0"/>
          <w:numId w:val="2"/>
        </w:numPr>
        <w:spacing w:after="80" w:line="280"/>
      </w:pPr>
      <w:r>
        <w:rPr>
          <w:sz w:val="22"/>
          <w:szCs w:val="22"/>
        </w:rPr>
        <w:t xml:space="preserve">铝价再度上行且公司为价格接受者→毛利率回落，2024年吊顶毛利率骤降10.95pp的情形可能重演。</w:t>
      </w:r>
    </w:p>
    <w:p>
      <w:pPr>
        <w:pStyle w:val="ListParagraph"/>
        <w:numPr>
          <w:ilvl w:val="0"/>
          <w:numId w:val="2"/>
        </w:numPr>
        <w:spacing w:after="80" w:line="280"/>
      </w:pPr>
      <w:r>
        <w:rPr>
          <w:sz w:val="22"/>
          <w:szCs w:val="22"/>
        </w:rPr>
        <w:t xml:space="preserve">2027年9-11月合计25.29%协议转让股份解禁→流通盘高度锁定的结构松动，潜在减持压制估值。</w:t>
      </w:r>
    </w:p>
    <w:p>
      <w:pPr>
        <w:pStyle w:val="ListParagraph"/>
        <w:numPr>
          <w:ilvl w:val="0"/>
          <w:numId w:val="2"/>
        </w:numPr>
        <w:spacing w:after="80" w:line="280"/>
      </w:pPr>
      <w:r>
        <w:rPr>
          <w:sz w:val="22"/>
          <w:szCs w:val="22"/>
        </w:rPr>
        <w:t xml:space="preserve">关联方共同设立三家控股子公司并增资8700万元→少数股东与关联交易增加，治理与资金占用需跟踪。</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算力收入占比</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2026H1约5%</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三季报占比升至10%以上并给出量化指引</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占比仍徘徊5%附近且无收入指引</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单季归母亏损</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Q2同比-3587%</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Q3亏损收窄至千万元以内</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Q3亏损继续同比扩大</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经营现金流净额</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2026H1 -0.15亿元</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三季报累计转正</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累计净流出继续扩大</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毛利率</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2026H1 23.97%</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维持24%以上且管理费用增速回落</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回落至22%以下</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 风险提示：以下为基于历史价格与技术指标的主观情景推演，不构成投资建议。</w:t>
      </w:r>
    </w:p>
    <w:p>
      <w:pPr>
        <w:pStyle w:val="Heading2"/>
        <w:spacing w:after="120" w:before="240"/>
      </w:pPr>
      <w:r>
        <w:rPr>
          <w:b/>
          <w:bCs/>
          <w:color w:val="2E74B5"/>
          <w:sz w:val="24"/>
          <w:szCs w:val="24"/>
        </w:rPr>
        <w:t xml:space="preserve">8.1 技术面概况</w:t>
      </w:r>
    </w:p>
    <w:p>
      <w:pPr>
        <w:spacing w:after="160" w:line="300"/>
      </w:pPr>
      <w:r>
        <w:rPr>
          <w:sz w:val="22"/>
          <w:szCs w:val="22"/>
        </w:rPr>
        <w:t xml:space="preserve">中期趋势仍偏弱：股价自6月143.9元高点回落逾五成，现处所有均线下方，PB 14倍居5.2年88%分位，估值与走势背离。短线MACD柱连续收窄、逼近布林下轨，属缩量超跌状态，但RSI未超卖、量能未放大，反弹缺乏确认，方向选择前以65.9~73.2元区间运行为主。</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均线（MA5/10/20/60）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MA5 71.34 / MA10 71.12 / MA20 73.19 / MA60 75.37</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股价位于全部均线下方，空头排列</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-1.523 / DEA -1.603 / 柱 0.161</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零轴下方、柱体连续两日收窄，下行动能减弱</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RSI6/RSI14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RSI6 42.5 / RSI14 43.8</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偏弱但未超卖，向下仍有空间</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布林带(20,2)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 80.50 / 中轨 73.19 / 下轨 65.87</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逼近下轨，中轨构成反弹第一压力</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量能</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最新一日为20日均量0.79倍</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缩量下跌，抛压未集中释放</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71.1~73.2元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MA5/MA10与布林中轨重合；收复则反弹打开至75.4元（MA60）</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64.6~65.9元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10月19日低点与布林下轨；跌破则回补至60元附近前期密集区</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56~60元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下一级整数关口与前期成交密集区；失守则指向52周低点44元方向</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以2026-10-22价格69.82元为基准，用近300个交易日的收益分布（按当前指数加权日波动率约3.9%缩放，保留这只股票自身的大涨大跌频率）推算未来5个交易日的收盘价范围：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64.77～78.54元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-7.2%～+12.5%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60.79～95.76元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-12.9%～+37.2%</w:t>
            </w:r>
          </w:p>
        </w:tc>
      </w:tr>
    </w:tbl>
    <w:p>
      <w:pPr>
        <w:spacing w:before="200"/>
      </w:pPr>
    </w:p>
    <w:p>
      <w:pPr>
        <w:spacing w:after="200"/>
      </w:pPr>
      <w:r>
        <w:rPr>
          <w:i/>
          <w:iCs/>
          <w:color w:val="595959"/>
          <w:sz w:val="18"/>
          <w:szCs w:val="18"/>
        </w:rPr>
        <w:t xml:space="preserve">区间内有2026年 三季报预约披露（2026-10-29），已按这只股票历次财报日的实际波动把区间放宽约0%。</w:t>
      </w: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震荡整理（相对权重较高，约五成）</w:t>
      </w:r>
      <w:r>
        <w:rPr>
          <w:sz w:val="22"/>
          <w:szCs w:val="22"/>
        </w:rPr>
        <w:t xml:space="preserve">：在65.9~71.3元间缩量磨底，量能维持均量0.7~1倍，无新催化，MACD柱继续向零轴收敛。按历史波动率测算，一周后收盘落在该区间的概率约30%。</w:t>
      </w:r>
    </w:p>
    <w:p>
      <w:pPr>
        <w:pStyle w:val="ListParagraph"/>
        <w:numPr>
          <w:ilvl w:val="0"/>
          <w:numId w:val="2"/>
        </w:numPr>
        <w:spacing w:after="80" w:line="280"/>
      </w:pPr>
      <w:r>
        <w:rPr>
          <w:b/>
          <w:bCs/>
          <w:sz w:val="22"/>
          <w:szCs w:val="22"/>
        </w:rPr>
        <w:t xml:space="preserve">偏弱下行（权重中等，约三成）</w:t>
      </w:r>
      <w:r>
        <w:rPr>
          <w:sz w:val="22"/>
          <w:szCs w:val="22"/>
        </w:rPr>
        <w:t xml:space="preserve">：跌破65.87元布林下轨且成交额放大至2亿元以上，指向60元附近；三季报算力占比未提升亦可能触发。按历史波动率测算，一周后收盘落在该区间的概率约15%。</w:t>
      </w:r>
    </w:p>
    <w:p>
      <w:pPr>
        <w:pStyle w:val="ListParagraph"/>
        <w:numPr>
          <w:ilvl w:val="0"/>
          <w:numId w:val="2"/>
        </w:numPr>
        <w:spacing w:after="80" w:line="280"/>
      </w:pPr>
      <w:r>
        <w:rPr>
          <w:b/>
          <w:bCs/>
          <w:sz w:val="22"/>
          <w:szCs w:val="22"/>
        </w:rPr>
        <w:t xml:space="preserve">反弹走强（权重偏低，约两成）</w:t>
      </w:r>
      <w:r>
        <w:rPr>
          <w:sz w:val="22"/>
          <w:szCs w:val="22"/>
        </w:rPr>
        <w:t xml:space="preserve">：站稳71.3元并放量突破73.19元中轨，反弹延伸至75.4元MA60；需板块共振或三季报超预期配合。按历史波动率测算，一周后收盘落在该区间的概率约20%。</w:t>
      </w:r>
    </w:p>
    <w:p>
      <w:pPr>
        <w:spacing w:after="200"/>
      </w:pPr>
      <w:r>
        <w:rPr>
          <w:i/>
          <w:iCs/>
          <w:color w:val="595959"/>
          <w:sz w:val="18"/>
          <w:szCs w:val="18"/>
        </w:rPr>
        <w:t xml:space="preserve">括号内是主观权重；句末的概率由上面的波动率区间反推，只反映波动幅度、不含方向判断。</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近10个交易日日成交额0.46~2.97亿元、换手率0.54%~3.19%，量能偏薄，小单即可放大波动。截至2026-06-30前十大流通股东合计73.80%，以控股平台、私募及个人为主，仅建信基金组合1.16%、中信证券资管（QFII）1.06%两家机构，且均较上期减持；该结构披露已滞后逾一季，可能已变化。流通盘高度锁定意味着实际可交易筹码有限，急跌时买盘承接薄、滑点偏大。</w:t>
      </w:r>
    </w:p>
    <w:p>
      <w:pPr>
        <w:spacing w:after="160" w:line="300"/>
      </w:pPr>
      <w:r>
        <w:rPr>
          <w:sz w:val="22"/>
          <w:szCs w:val="22"/>
        </w:rPr>
        <w:t xml:space="preserve">若单日成交额放大至2.5亿元以上（接近近10日上沿）且股价站上71.3元，可视为资金回流信号；反之跌破65.9元伴量能同步放大，则确认下行。</w:t>
      </w:r>
    </w:p>
    <w:p>
      <w:pPr>
        <w:spacing w:after="200"/>
      </w:pPr>
      <w:r>
        <w:rPr>
          <w:i/>
          <w:iCs/>
          <w:color w:val="595959"/>
          <w:sz w:val="18"/>
          <w:szCs w:val="18"/>
        </w:rPr>
        <w:t xml:space="preserve">以上情景推演基于2026-10-22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法狮龙:法狮龙家居建材股份有限公司2025年年度报告摘要 — https://www.cnfin.com/announ/detail/index.html?id=830625291824&amp;code=605318&amp;dannoun=lcdetail&amp;announ=lc#1</w:t>
      </w:r>
    </w:p>
    <w:p>
      <w:pPr>
        <w:spacing w:after="200"/>
      </w:pPr>
      <w:r>
        <w:rPr>
          <w:i/>
          <w:iCs/>
          <w:color w:val="595959"/>
          <w:sz w:val="18"/>
          <w:szCs w:val="18"/>
        </w:rPr>
        <w:t xml:space="preserve">法狮龙:法狮龙家居建材股份有限公司投资者关系记录2026-002 — https://www.cnfin.com/announ/detail/index.html?id=833995171397&amp;code=605318&amp;dannoun=lcdetail&amp;announ=lc</w:t>
      </w:r>
    </w:p>
    <w:p>
      <w:pPr>
        <w:spacing w:after="200"/>
      </w:pPr>
      <w:r>
        <w:rPr>
          <w:i/>
          <w:iCs/>
          <w:color w:val="595959"/>
          <w:sz w:val="18"/>
          <w:szCs w:val="18"/>
        </w:rPr>
        <w:t xml:space="preserve">法狮龙家居建材股份有限公司2025年第一季度报告 - 2025年 — https://paper.cnstock.com/html/2025-04/28/content_2058458.htm#1</w:t>
      </w:r>
    </w:p>
    <w:p>
      <w:pPr>
        <w:spacing w:after="200"/>
      </w:pPr>
      <w:r>
        <w:rPr>
          <w:i/>
          <w:iCs/>
          <w:color w:val="595959"/>
          <w:sz w:val="18"/>
          <w:szCs w:val="18"/>
        </w:rPr>
        <w:t xml:space="preserve">法狮龙家居建材股份有限公司关于完成工商变更登记及换发营业执照的公告 — http://paper.cnstock.com/html/2025-02/05/content_2024228.htm</w:t>
      </w:r>
    </w:p>
    <w:p>
      <w:pPr>
        <w:spacing w:after="200"/>
      </w:pPr>
      <w:r>
        <w:rPr>
          <w:i/>
          <w:iCs/>
          <w:color w:val="595959"/>
          <w:sz w:val="18"/>
          <w:szCs w:val="18"/>
        </w:rPr>
        <w:t xml:space="preserve">法狮龙2025年年度暨2026年第一季度业绩说明会 — https://roadshow.sseinfo.com/activityDetails/38362</w:t>
      </w:r>
    </w:p>
    <w:p>
      <w:pPr>
        <w:spacing w:after="200"/>
      </w:pPr>
      <w:r>
        <w:rPr>
          <w:i/>
          <w:iCs/>
          <w:color w:val="595959"/>
          <w:sz w:val="18"/>
          <w:szCs w:val="18"/>
        </w:rPr>
        <w:t xml:space="preserve">法狮龙2026年半年度可视化财报 - 法狮龙2026年半年度业绩说明会 — https://roadshow.sseinfo.com/activityDetails/40906#1</w:t>
      </w:r>
    </w:p>
    <w:p>
      <w:pPr>
        <w:spacing w:after="200"/>
      </w:pPr>
      <w:r>
        <w:rPr>
          <w:i/>
          <w:iCs/>
          <w:color w:val="595959"/>
          <w:sz w:val="18"/>
          <w:szCs w:val="18"/>
        </w:rPr>
        <w:t xml:space="preserve">法狮龙:法狮龙家居建材股份有限公司2025年年度报告摘要 _ 法狮龙(605318) _ 公告正文 - 法狮龙:法狮龙家居建材股份有限公司2025年年度报告摘要 查看PDF原文 — https://data.eastmoney.com/notices/detail/605318/AN202604271821613851.html#1</w:t>
      </w:r>
    </w:p>
    <w:p>
      <w:pPr>
        <w:spacing w:after="200"/>
      </w:pPr>
      <w:r>
        <w:rPr>
          <w:i/>
          <w:iCs/>
          <w:color w:val="595959"/>
          <w:sz w:val="18"/>
          <w:szCs w:val="18"/>
        </w:rPr>
        <w:t xml:space="preserve">法狮龙: 法狮龙家居建材股份有限公司2025年年度报告摘要 - 法狮龙家居建材股份有限公司2025 年年度报告摘要 — https://stock.stockstar.com/notice/SN2026042700036198.shtml#1</w:t>
      </w:r>
    </w:p>
    <w:p>
      <w:pPr>
        <w:spacing w:after="200"/>
      </w:pPr>
      <w:r>
        <w:rPr>
          <w:i/>
          <w:iCs/>
          <w:color w:val="595959"/>
          <w:sz w:val="18"/>
          <w:szCs w:val="18"/>
        </w:rPr>
        <w:t xml:space="preserve">法狮龙家居建材股份有限公司2026年半年度报告 — https://static.cninfo.com.cn/finalpage/2026-08-25/1225498200.PDF</w:t>
      </w:r>
    </w:p>
    <w:p>
      <w:pPr>
        <w:spacing w:after="200"/>
      </w:pPr>
      <w:r>
        <w:rPr>
          <w:i/>
          <w:iCs/>
          <w:color w:val="595959"/>
          <w:sz w:val="18"/>
          <w:szCs w:val="18"/>
        </w:rPr>
        <w:t xml:space="preserve">法狮龙家居建材股份有限公司2025年年度报告 — https://static.cninfo.com.cn/finalpage/2026-04-28/1225201604.PDF</w:t>
      </w:r>
    </w:p>
    <w:p>
      <w:pPr>
        <w:spacing w:after="200"/>
      </w:pPr>
      <w:r>
        <w:rPr>
          <w:i/>
          <w:iCs/>
          <w:color w:val="595959"/>
          <w:sz w:val="18"/>
          <w:szCs w:val="18"/>
        </w:rPr>
        <w:t xml:space="preserve">法狮龙家居建材股份有限公司2024年年度报告 — https://static.cninfo.com.cn/finalpage/2025-04-28/1223347357.PDF</w:t>
      </w:r>
    </w:p>
    <w:p>
      <w:pPr>
        <w:spacing w:after="200"/>
      </w:pPr>
      <w:r>
        <w:rPr>
          <w:i/>
          <w:iCs/>
          <w:color w:val="595959"/>
          <w:sz w:val="18"/>
          <w:szCs w:val="18"/>
        </w:rPr>
        <w:t xml:space="preserve">法狮龙家居建材股份有限公司2023年年度报告 — https://static.cninfo.com.cn/finalpage/2024-04-30/1219906257.PDF</w:t>
      </w:r>
    </w:p>
    <w:p>
      <w:pPr>
        <w:spacing w:after="200"/>
      </w:pPr>
      <w:r>
        <w:rPr>
          <w:i/>
          <w:iCs/>
          <w:color w:val="595959"/>
          <w:sz w:val="18"/>
          <w:szCs w:val="18"/>
        </w:rPr>
        <w:t xml:space="preserve">腾讯财经行情（2026-10-23） — https://gu.qq.com/sh605318</w:t>
      </w:r>
    </w:p>
    <w:p>
      <w:pPr>
        <w:spacing w:after="200"/>
      </w:pPr>
      <w:r>
        <w:rPr>
          <w:i/>
          <w:iCs/>
          <w:color w:val="595959"/>
          <w:sz w:val="18"/>
          <w:szCs w:val="18"/>
        </w:rPr>
        <w:t xml:space="preserve">东方财富F10 合并资产负债表（2026中报） — https://emweb.securities.eastmoney.com/pc_hsf10/pages/index.html?type=web&amp;code=SH605318#/cwfx</w:t>
      </w:r>
    </w:p>
    <w:p>
      <w:pPr>
        <w:spacing w:after="200"/>
      </w:pPr>
      <w:r>
        <w:rPr>
          <w:i/>
          <w:iCs/>
          <w:color w:val="595959"/>
          <w:sz w:val="18"/>
          <w:szCs w:val="18"/>
        </w:rPr>
        <w:t xml:space="preserve">东方财富 F10 盈利预测 — https://emweb.securities.eastmoney.com/pc_hsf10/pages/index.html?type=web&amp;code=SH605318#/ylyc</w:t>
      </w:r>
    </w:p>
    <w:p>
      <w:pPr>
        <w:spacing w:after="200"/>
      </w:pPr>
      <w:r>
        <w:rPr>
          <w:i/>
          <w:iCs/>
          <w:color w:val="595959"/>
          <w:sz w:val="18"/>
          <w:szCs w:val="18"/>
        </w:rPr>
        <w:t xml:space="preserve">法狮龙:法狮龙家居建材股份有限公司2026年半年度报告 — https://pdf.dfcfw.com/pdf/H2_AN202608241828368787_1.pdf</w:t>
      </w:r>
    </w:p>
    <w:p>
      <w:pPr>
        <w:spacing w:after="200"/>
      </w:pPr>
      <w:r>
        <w:rPr>
          <w:i/>
          <w:iCs/>
          <w:color w:val="595959"/>
          <w:sz w:val="18"/>
          <w:szCs w:val="18"/>
        </w:rPr>
        <w:t xml:space="preserve">法狮龙:法狮龙家居建材股份有限公司2026年第二次临时股东会会议决议公告 — https://www.cnfin.com/announ/detail/index.html?id=842291087684&amp;code=605318&amp;dannoun=lcdetail&amp;announ=lc</w:t>
      </w:r>
    </w:p>
    <w:p>
      <w:pPr>
        <w:spacing w:after="200"/>
      </w:pPr>
      <w:r>
        <w:rPr>
          <w:i/>
          <w:iCs/>
          <w:color w:val="595959"/>
          <w:sz w:val="18"/>
          <w:szCs w:val="18"/>
        </w:rPr>
        <w:t xml:space="preserve">法狮龙:法狮龙家居建材股份有限公司关于对子公司增资及与关联方共同出资设立控股子公司暨关联交易的公告 - 首页 &gt; — https://www.cnfin.com/announ/detail/index.html?id=840916838065&amp;code=605318&amp;dannoun=lcdetail&amp;announ=lc#1</w:t>
      </w:r>
    </w:p>
    <w:p>
      <w:pPr>
        <w:spacing w:after="200"/>
      </w:pPr>
      <w:r>
        <w:rPr>
          <w:i/>
          <w:iCs/>
          <w:color w:val="595959"/>
          <w:sz w:val="18"/>
          <w:szCs w:val="18"/>
        </w:rPr>
        <w:t xml:space="preserve">法狮龙:法狮龙家居建材股份有限公司关于召开2026年第二次临时股东会的通知 - 首页 &gt; — https://www.cnfin.com/announ/detail/index.html?id=840916834713&amp;code=605318&amp;dannoun=lcdetail&amp;announ=lc#1</w:t>
      </w:r>
    </w:p>
    <w:p>
      <w:pPr>
        <w:spacing w:after="200"/>
      </w:pPr>
      <w:r>
        <w:rPr>
          <w:i/>
          <w:iCs/>
          <w:color w:val="595959"/>
          <w:sz w:val="18"/>
          <w:szCs w:val="18"/>
        </w:rPr>
        <w:t xml:space="preserve">中国资本市场法定信息披露平台 — http://kcb.cnstock.com/m/jyts_gg?stockcode=605318</w:t>
      </w:r>
    </w:p>
    <w:p>
      <w:pPr>
        <w:spacing w:after="200"/>
      </w:pPr>
      <w:r>
        <w:rPr>
          <w:i/>
          <w:iCs/>
          <w:color w:val="595959"/>
          <w:sz w:val="18"/>
          <w:szCs w:val="18"/>
        </w:rPr>
        <w:t xml:space="preserve">法狮龙家居建材股份有限公司关于公司补缴税款的公告 — https://paper.cnstock.com/html/2026-03/19/content_2189734.htm</w:t>
      </w:r>
    </w:p>
    <w:p>
      <w:pPr>
        <w:spacing w:after="200"/>
      </w:pPr>
      <w:r>
        <w:rPr>
          <w:i/>
          <w:iCs/>
          <w:color w:val="595959"/>
          <w:sz w:val="18"/>
          <w:szCs w:val="18"/>
        </w:rPr>
        <w:t xml:space="preserve">法狮龙家居建材股份有限公司2026年第一次临时股东会决议公告 — https://paper.cnstock.com/html/2026-04/01/content_2195264.htm</w:t>
      </w:r>
    </w:p>
    <w:p>
      <w:pPr>
        <w:spacing w:after="200"/>
      </w:pPr>
      <w:r>
        <w:rPr>
          <w:i/>
          <w:iCs/>
          <w:color w:val="595959"/>
          <w:sz w:val="18"/>
          <w:szCs w:val="18"/>
        </w:rPr>
        <w:t xml:space="preserve">法狮龙(605318)_公司公告_法狮龙：2026年半年度报告新浪财经_新浪网 - 3、经销商业务模式风险报告期内，公司销售模式以经销模式为主，公司的产品直接销售给经销商，由经销商自建专卖店面向消费者，随着公司营销渠道不断丰富，对公司在经销商管理和销售政策制定等方面的要求也将不断提升 — http://vip.stock.finance.sina.com.cn/corp/view/vCB_AllBulletinDetail.php?stockid=605318&amp;id=12526659#3</w:t>
      </w:r>
    </w:p>
    <w:p>
      <w:pPr>
        <w:spacing w:after="200"/>
      </w:pPr>
      <w:r>
        <w:rPr>
          <w:i/>
          <w:iCs/>
          <w:color w:val="595959"/>
          <w:sz w:val="18"/>
          <w:szCs w:val="18"/>
        </w:rPr>
        <w:t xml:space="preserve">法狮龙(605318):法狮龙家居建材股份有限公司第三届董事会第十六次会议决议 - 法狮龙(605318):法狮龙家居建材股份有限公司第三届董事会第十六次会议决议 — https://wt.cfi.cn/p20260824005405.html#1</w:t>
      </w:r>
    </w:p>
    <w:p>
      <w:pPr>
        <w:spacing w:after="200"/>
      </w:pPr>
      <w:r>
        <w:rPr>
          <w:i/>
          <w:iCs/>
          <w:color w:val="595959"/>
          <w:sz w:val="18"/>
          <w:szCs w:val="18"/>
        </w:rPr>
        <w:t xml:space="preserve">东方财富 个股资金流向 — https://data.eastmoney.com/zjlx/605318.html</w:t>
      </w:r>
    </w:p>
    <w:p>
      <w:pPr>
        <w:spacing w:after="200"/>
      </w:pPr>
      <w:r>
        <w:rPr>
          <w:i/>
          <w:iCs/>
          <w:color w:val="595959"/>
          <w:sz w:val="18"/>
          <w:szCs w:val="18"/>
        </w:rPr>
        <w:t xml:space="preserve">东方财富 股东研究 — https://emweb.securities.eastmoney.com/pc_hsf10/pages/index.html?type=web&amp;code=SH605318#/gdyj</w:t>
      </w:r>
    </w:p>
    <w:p>
      <w:pPr>
        <w:spacing w:after="200"/>
      </w:pPr>
      <w:r>
        <w:rPr>
          <w:i/>
          <w:iCs/>
          <w:color w:val="595959"/>
          <w:sz w:val="18"/>
          <w:szCs w:val="18"/>
        </w:rPr>
        <w:t xml:space="preserve">本报告由AI基于公开渠道信息自动检索、整理并生成，信息截至 2026-10-22收盘，可能存在时效性差异，具体数据请以公司正式公告及权威数据终端为准。本报告仅为信息整理与研究参考，不构成任何投资建议，投资者应独立判断并自行承担投资风险。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2026-10-23T03:32:06.055Z</dcterms:created>
  <dcterms:modified xsi:type="dcterms:W3CDTF">2026-10-23T03:32:06.055Z</dcterms:modified>
</cp:coreProperties>
</file>

<file path=docProps/custom.xml><?xml version="1.0" encoding="utf-8"?>
<Properties xmlns="http://schemas.openxmlformats.org/officeDocument/2006/custom-properties" xmlns:vt="http://schemas.openxmlformats.org/officeDocument/2006/docPropsVTypes"/>
</file>