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苏州华兴源创科技股份有限公司（华兴源创） (688001)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行业：工业自动化测试设备与专用装备</w:t>
      </w:r>
    </w:p>
    <w:p>
      <w:pPr>
        <w:jc w:val="center"/>
      </w:pPr>
      <w:r>
        <w:rPr>
          <w:color w:val="595959"/>
          <w:sz w:val="22"/>
          <w:szCs w:val="22"/>
        </w:rPr>
        <w:t xml:space="preserve">报告日期：2026年9月13日</w:t>
      </w:r>
    </w:p>
    <w:p>
      <w:pPr>
        <w:jc w:val="center"/>
      </w:pPr>
      <w:r>
        <w:rPr>
          <w:color w:val="595959"/>
          <w:sz w:val="20"/>
          <w:szCs w:val="20"/>
        </w:rPr>
        <w:t xml:space="preserve">数据基准日：2026年9月11日收盘；下一交易日为2026年9月14日。行情数据主要依据研究纪要中所述的Investing、经济通及新浪财经等页面交叉核对。</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兴源创最新经营表现显示修复趋势：2026年上半年实现营业收入11.34亿元，同比增长23.91%，归母净利润9488.96万元，同比增长20.85%，扣非归母净利润同比增长13.11%；但利润主要集中于第二季度，季度盈利波动较大，且公司当前估值处于较高水平，股价短期波动风险突出。截至2026年9月11日，股价为62.31元，动态市盈率约346倍，前期快速上涨后已出现冲高回落。</w:t>
      </w:r>
    </w:p>
    <w:p>
      <w:pPr>
        <w:spacing w:after="160" w:line="300"/>
      </w:pPr>
      <w:r>
        <w:rPr>
          <w:sz w:val="22"/>
          <w:szCs w:val="22"/>
        </w:rPr>
        <w:t xml:space="preserve">公司主营工业自动化测试设备及整线系统，覆盖平板显示、智能穿戴、半导体及汽车电子等多个领域，产品具有较强定制化特征。2026年上半年检测设备和治具及配件收入合计占主营业务收入约95.25%，显示现阶段增长仍主要依托测试设备主业；研发投入约1.58亿元，占营业收入约13.93%，经营活动现金流净额约7841.96万元，较上年同期明显改善。</w:t>
      </w:r>
    </w:p>
    <w:p>
      <w:pPr>
        <w:spacing w:after="160" w:line="300"/>
      </w:pPr>
      <w:r>
        <w:rPr>
          <w:sz w:val="22"/>
          <w:szCs w:val="22"/>
        </w:rPr>
        <w:t xml:space="preserve">中长期增长逻辑包括显示及消费电子检测需求恢复、半导体和汽车电子测试业务拓展，以及控股武汉普赛斯后在光电半导体和功率半导体测试领域的业务延伸。普赛斯已完成39%股权收购并纳入控股范围，但目前仍处于持续整合阶段，协同效应、收入利润贡献及整合成本尚待进一步验证。</w:t>
      </w:r>
    </w:p>
    <w:p>
      <w:pPr>
        <w:spacing w:after="160" w:line="300"/>
      </w:pPr>
      <w:r>
        <w:rPr>
          <w:sz w:val="22"/>
          <w:szCs w:val="22"/>
        </w:rPr>
        <w:t xml:space="preserve">公司经营同时面临较明显的资金占用和客户集中问题。截至2025年末，应收账款净额约15.96亿元、存货约8.84亿元，合计约相当于2025年营业收入的110.8%；前五大客户销售占比49.17%，显著高于前五大供应商采购占比13.28%。技术面上，股价仍高于MA10和MA20，但略低于MA5，RSI接近70，且9月11日主力资金净流出约1.26亿元，短线处于高位震荡和回撤压力加大的阶段。</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688001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2019年7月22日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注册地及主要经营地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江苏省苏州市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工业自动化测试设备及整线系统解决方案提供商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主要服务领域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平板显示、消费电子、集成电路及新能源汽车</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产品特征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产品具有较强的定制化、非标准化特征，通常需要根据客户产品结构、生产工艺、测试指标和产线节拍进行设计、制造、调试及交付</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2025年经营规模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营业收入22.40亿元，同比增长22.88%；综合毛利率46.32%</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平板事业（FPD）：面向LCD、OLED、Micro OLED、Micro LED、Mini LED及车载显示面板，提供显示、触控、信号、光学、可靠性、老化、缺陷检测及修复等设备。</w:t>
      </w:r>
    </w:p>
    <w:p>
      <w:pPr>
        <w:pStyle w:val="ListParagraph"/>
        <w:numPr>
          <w:ilvl w:val="0"/>
          <w:numId w:val="2"/>
        </w:numPr>
        <w:spacing w:after="80" w:line="280"/>
      </w:pPr>
      <w:r>
        <w:rPr>
          <w:sz w:val="22"/>
          <w:szCs w:val="22"/>
        </w:rPr>
        <w:t xml:space="preserve">智能穿戴事业（SWD）：面向智能手表、无线耳机、AR/VR等消费电子产品，提供屏幕及传感器检测、声学检测、气密性检测、功能测试、工艺检测及自动化组装设备。</w:t>
      </w:r>
    </w:p>
    <w:p>
      <w:pPr>
        <w:pStyle w:val="ListParagraph"/>
        <w:numPr>
          <w:ilvl w:val="0"/>
          <w:numId w:val="2"/>
        </w:numPr>
        <w:spacing w:after="80" w:line="280"/>
      </w:pPr>
      <w:r>
        <w:rPr>
          <w:sz w:val="22"/>
          <w:szCs w:val="22"/>
        </w:rPr>
        <w:t xml:space="preserve">半导体事业（SEMI）：面向SoC、CIS、BMS、RF射频、SiP先进封装等产品，提供测试机、分选机、AOI设备、晶圆缺陷检测设备、BMS检测设备及相关耗材。</w:t>
      </w:r>
    </w:p>
    <w:p>
      <w:pPr>
        <w:pStyle w:val="ListParagraph"/>
        <w:numPr>
          <w:ilvl w:val="0"/>
          <w:numId w:val="2"/>
        </w:numPr>
        <w:spacing w:after="80" w:line="280"/>
      </w:pPr>
      <w:r>
        <w:rPr>
          <w:sz w:val="22"/>
          <w:szCs w:val="22"/>
        </w:rPr>
        <w:t xml:space="preserve">汽车事业（EVE）：围绕新能源汽车及汽车电子，布局电驱系统、汽车电子部件、BMS及相关测试工装、热管理、辅助驾驶、智能座舱和控制器等产品。</w:t>
      </w:r>
    </w:p>
    <w:p>
      <w:pPr>
        <w:pStyle w:val="ListParagraph"/>
        <w:numPr>
          <w:ilvl w:val="0"/>
          <w:numId w:val="2"/>
        </w:numPr>
        <w:spacing w:after="80" w:line="280"/>
      </w:pPr>
      <w:r>
        <w:rPr>
          <w:sz w:val="22"/>
          <w:szCs w:val="22"/>
        </w:rPr>
        <w:t xml:space="preserve">其他及孵化业务：包括技术服务、运维调试、设备维修、检查保养及新业务孵化等。</w:t>
      </w:r>
    </w:p>
    <w:p>
      <w:pPr>
        <w:pStyle w:val="ListParagraph"/>
        <w:numPr>
          <w:ilvl w:val="0"/>
          <w:numId w:val="2"/>
        </w:numPr>
        <w:spacing w:after="80" w:line="280"/>
      </w:pPr>
      <w:r>
        <w:rPr>
          <w:sz w:val="22"/>
          <w:szCs w:val="22"/>
        </w:rPr>
        <w:t xml:space="preserve">按2025年年报会计收入分类，主营产品包括检测设备、治具及配件、组装设备及其他业务；该口径与官网按事业部及应用场景划分的产品体系并不完全相同。</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兴源创位于工业自动化及电子制造装备产业链中游，属于专用测试设备、自动化设备和整线系统集成商。公司价值主要来自测试方案设计、光学及图像算法、电子测试平台和板卡、精密机械及自动化控制、软件系统、客户认证、量产交付及设备升级和售后服务。</w:t>
      </w:r>
    </w:p>
    <w:p>
      <w:pPr>
        <w:pStyle w:val="ListParagraph"/>
        <w:numPr>
          <w:ilvl w:val="0"/>
          <w:numId w:val="2"/>
        </w:numPr>
        <w:spacing w:after="80" w:line="280"/>
      </w:pPr>
      <w:r>
        <w:rPr>
          <w:sz w:val="22"/>
          <w:szCs w:val="22"/>
        </w:rPr>
        <w:t xml:space="preserve">主要采购机械零部件、电气及电子元器件、汽车电子相关物料、电子部品组件、加工部品以及治具及配件相关材料；具体产品还涉及精密加工件、运动控制部件、工业相机、光学部件、传感器、控制器、测试板卡及高精度连接组件等。</w:t>
      </w:r>
    </w:p>
    <w:p>
      <w:pPr>
        <w:pStyle w:val="ListParagraph"/>
        <w:numPr>
          <w:ilvl w:val="0"/>
          <w:numId w:val="2"/>
        </w:numPr>
        <w:spacing w:after="80" w:line="280"/>
      </w:pPr>
      <w:r>
        <w:rPr>
          <w:sz w:val="22"/>
          <w:szCs w:val="22"/>
        </w:rPr>
        <w:t xml:space="preserve">2025年分产品成本结构显示，检测设备原材料成本4.86亿元，占公司总营业成本约40.47%；治具及配件原材料成本4.12亿元，占比约34.26%；组装设备原材料成本3484万元，占比约2.90%；其他业务原材料成本2073万元，占比约1.73%。原材料仍是主要成本项目。</w:t>
      </w:r>
    </w:p>
    <w:p>
      <w:pPr>
        <w:pStyle w:val="ListParagraph"/>
        <w:numPr>
          <w:ilvl w:val="0"/>
          <w:numId w:val="2"/>
        </w:numPr>
        <w:spacing w:after="80" w:line="280"/>
      </w:pPr>
      <w:r>
        <w:rPr>
          <w:sz w:val="22"/>
          <w:szCs w:val="22"/>
        </w:rPr>
        <w:t xml:space="preserve">截至2025年12月31日，前五名供应商采购额为1.61亿元，占年度采购总额13.28%；不存在单一供应商采购额超过50%的情况。供应商集中度数据来源于公司2025年年度报告。</w:t>
      </w:r>
    </w:p>
    <w:p>
      <w:pPr>
        <w:pStyle w:val="ListParagraph"/>
        <w:numPr>
          <w:ilvl w:val="0"/>
          <w:numId w:val="2"/>
        </w:numPr>
        <w:spacing w:after="80" w:line="280"/>
      </w:pPr>
      <w:r>
        <w:rPr>
          <w:sz w:val="22"/>
          <w:szCs w:val="22"/>
        </w:rPr>
        <w:t xml:space="preserve">2025年前五大供应商中，广州思林杰科技股份有限公司采购额2394.08万元，占比1.98%；Intron Technology（China）Limited采购额2150.87万元，占比1.78%；苏州鑫杰特精密机械有限公司采购额1844.68万元，占比1.52%。另有两家供应商匿名披露，其中第一大供应商占比5.94%、第二大供应商占比2.06%。</w:t>
      </w:r>
    </w:p>
    <w:p>
      <w:pPr>
        <w:pStyle w:val="ListParagraph"/>
        <w:numPr>
          <w:ilvl w:val="0"/>
          <w:numId w:val="2"/>
        </w:numPr>
        <w:spacing w:after="80" w:line="280"/>
      </w:pPr>
      <w:r>
        <w:rPr>
          <w:sz w:val="22"/>
          <w:szCs w:val="22"/>
        </w:rPr>
        <w:t xml:space="preserve">对机械零部件、电气及电子元器件等标准化或半标准化部件，公司整体更接近价格接受者；部分零部件和加工部品存在多供应商采购可能，公司可通过提前采购、供应商管理及设计优化降低成本，但项目报价确定后原材料涨价未必能及时向客户传导。</w:t>
      </w:r>
    </w:p>
    <w:p>
      <w:pPr>
        <w:pStyle w:val="ListParagraph"/>
        <w:numPr>
          <w:ilvl w:val="0"/>
          <w:numId w:val="2"/>
        </w:numPr>
        <w:spacing w:after="80" w:line="280"/>
      </w:pPr>
      <w:r>
        <w:rPr>
          <w:sz w:val="22"/>
          <w:szCs w:val="22"/>
        </w:rPr>
        <w:t xml:space="preserve">进口原材料主要使用日元结算，出口产品主要使用美元结算，汇率变化可能通过采购成本及收入折算影响利润。</w:t>
      </w:r>
    </w:p>
    <w:p>
      <w:pPr>
        <w:pStyle w:val="ListParagraph"/>
        <w:numPr>
          <w:ilvl w:val="0"/>
          <w:numId w:val="2"/>
        </w:numPr>
        <w:spacing w:after="80" w:line="280"/>
      </w:pPr>
      <w:r>
        <w:rPr>
          <w:sz w:val="22"/>
          <w:szCs w:val="22"/>
        </w:rPr>
        <w:t xml:space="preserve">下游客户主要包括平板显示面板及模组厂商、集成电路设计及晶圆制造和封装测试厂商、消费电子终端品牌商及其供应链企业，以及新能源汽车和汽车电子企业。</w:t>
      </w:r>
    </w:p>
    <w:p>
      <w:pPr>
        <w:pStyle w:val="ListParagraph"/>
        <w:numPr>
          <w:ilvl w:val="0"/>
          <w:numId w:val="2"/>
        </w:numPr>
        <w:spacing w:after="80" w:line="280"/>
      </w:pPr>
      <w:r>
        <w:rPr>
          <w:sz w:val="22"/>
          <w:szCs w:val="22"/>
        </w:rPr>
        <w:t xml:space="preserve">公司长期服务苹果产业链，并披露自2013年以来一直为苹果公司指定的手机屏幕检测设备供应商；公司还曾披露平板显示检测产品获得苹果、三星、LG等海外知名客户认可。但2025年年报客户名称匿名，无法据此将匿名客户逐一对应至具体终端品牌。</w:t>
      </w:r>
    </w:p>
    <w:p>
      <w:pPr>
        <w:pStyle w:val="ListParagraph"/>
        <w:numPr>
          <w:ilvl w:val="0"/>
          <w:numId w:val="2"/>
        </w:numPr>
        <w:spacing w:after="80" w:line="280"/>
      </w:pPr>
      <w:r>
        <w:rPr>
          <w:sz w:val="22"/>
          <w:szCs w:val="22"/>
        </w:rPr>
        <w:t xml:space="preserve">截至2025年12月31日，前五名客户销售额为11.01亿元，占年度销售总额49.17%；第一大客户销售额3.34亿元，占比14.91%，第二大客户销售额2.55亿元，占比11.39%，第三至第五大客户占比分别为7.75%、7.70%和7.44%。该数据来源为公司2025年年度报告，客户名称匿名，且本纪要未对匿名客户进行逐一外部交叉映射，具体以最新年报为准。</w:t>
      </w:r>
    </w:p>
    <w:p>
      <w:pPr>
        <w:pStyle w:val="ListParagraph"/>
        <w:numPr>
          <w:ilvl w:val="0"/>
          <w:numId w:val="2"/>
        </w:numPr>
        <w:spacing w:after="80" w:line="280"/>
      </w:pPr>
      <w:r>
        <w:rPr>
          <w:sz w:val="22"/>
          <w:szCs w:val="22"/>
        </w:rPr>
        <w:t xml:space="preserve">下游客户多为大型面板、消费电子、半导体及汽车企业，采购规模大、认证流程长，对设备稳定性和交付周期要求高，整体具有较强采购议价能力。</w:t>
      </w:r>
    </w:p>
    <w:p>
      <w:pPr>
        <w:pStyle w:val="ListParagraph"/>
        <w:numPr>
          <w:ilvl w:val="0"/>
          <w:numId w:val="2"/>
        </w:numPr>
        <w:spacing w:after="80" w:line="280"/>
      </w:pPr>
      <w:r>
        <w:rPr>
          <w:sz w:val="22"/>
          <w:szCs w:val="22"/>
        </w:rPr>
        <w:t xml:space="preserve">公司产品以定制化项目为主，价格通常在项目初期确定；客户在产品导入、工艺升级和量产阶段可能要求设备优化、降价或追加服务，公司面临项目报价和服务成本压力。</w:t>
      </w:r>
    </w:p>
    <w:p>
      <w:pPr>
        <w:pStyle w:val="ListParagraph"/>
        <w:numPr>
          <w:ilvl w:val="0"/>
          <w:numId w:val="2"/>
        </w:numPr>
        <w:spacing w:after="80" w:line="280"/>
      </w:pPr>
      <w:r>
        <w:rPr>
          <w:sz w:val="22"/>
          <w:szCs w:val="22"/>
        </w:rPr>
        <w:t xml:space="preserve">设备进入客户产线并通过验证后，换型、升级、治具更换及维护可能形成持续收入，但订单节奏仍明显受面板及半导体资本开支、消费电子新品周期和新能源汽车产能投资影响。</w:t>
      </w:r>
    </w:p>
    <w:p>
      <w:pPr>
        <w:pStyle w:val="ListParagraph"/>
        <w:numPr>
          <w:ilvl w:val="0"/>
          <w:numId w:val="2"/>
        </w:numPr>
        <w:spacing w:after="80" w:line="280"/>
      </w:pPr>
      <w:r>
        <w:rPr>
          <w:sz w:val="22"/>
          <w:szCs w:val="22"/>
        </w:rPr>
        <w:t xml:space="preserve">公司在客户关系、技术认证、产品理解和交付能力上具备一定议价基础，但面对苹果产业链、头部面板厂及大型半导体厂商时，整体仍处于相对弱势的供应商议价位置。</w:t>
      </w:r>
    </w:p>
    <w:p>
      <w:pPr>
        <w:pStyle w:val="ListParagraph"/>
        <w:numPr>
          <w:ilvl w:val="0"/>
          <w:numId w:val="2"/>
        </w:numPr>
        <w:spacing w:after="80" w:line="280"/>
      </w:pPr>
      <w:r>
        <w:rPr>
          <w:sz w:val="22"/>
          <w:szCs w:val="22"/>
        </w:rPr>
        <w:t xml:space="preserve">截至2025年12月31日，应收账款账面净额为15.96亿元，相当于2025年营业收入22.40亿元的约71.3%；存货账面价值为8.84亿元，相当于营业收入的约39.5%；应收账款与存货合计约相当于营业收入的110.8%。公司经营模式主要是“以销定产、以产定存”，但会根据客户订单计划提前采购或备货；上述数据表明产业链资金占用主要发生在下游客户一侧，公司承担较明显的应收账款和存货占用压力。研究纪要未提供应收账款周转天数、应付账款及预付款具体数据。</w:t>
      </w:r>
    </w:p>
    <w:p>
      <w:pPr>
        <w:pStyle w:val="ListParagraph"/>
        <w:numPr>
          <w:ilvl w:val="0"/>
          <w:numId w:val="2"/>
        </w:numPr>
        <w:spacing w:after="80" w:line="280"/>
      </w:pPr>
      <w:r>
        <w:rPr>
          <w:sz w:val="22"/>
          <w:szCs w:val="22"/>
        </w:rPr>
        <w:t xml:space="preserve">2025年公司前五大客户销售占比49.17%，明显高于前五大供应商采购占比13.28%，显示销售端对少数大型客户依赖更高。客户名称被匿名披露，无法从2025年年报逐一确认其对应终端品牌；该集中度数据来源单一，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约52.10%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约14.27%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消费电子及显示检测设备需求、产品结构及较高毛利率业务贡献，对毛利率和净利率形成支撑。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约12.88%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全球经济下行及消费电子需求疲软导致收入下降，但公司通过优化产品设计、增加设备功能、严格控制成本及降低制造费用，使毛利率略有提升；净利率仍低于2022年。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42.12%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约-27.27%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消费电子需求波动、检测设备订单减少、组装设备单价及毛利率承压，叠加人工成本、制造费用、新增固定资产折旧摊销及华兴欧立通相关商誉减值，导致毛利率和净利率明显下滑。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治具及配件、检测设备收入恢复增长，新产品和新技术落地及精细化成本管控推动毛利率修复；但折旧摊销、研发及销售投入、客户集中度和应收账款资金占用使净利率仍低于2022—2023年。</w:t>
            </w:r>
          </w:p>
        </w:tc>
      </w:tr>
    </w:tbl>
    <w:p>
      <w:pPr>
        <w:spacing w:before="200"/>
      </w:pPr>
    </w:p>
    <w:p>
      <w:pPr>
        <w:spacing w:after="160" w:line="300"/>
      </w:pPr>
      <w:r>
        <w:rPr>
          <w:sz w:val="22"/>
          <w:szCs w:val="22"/>
        </w:rPr>
        <w:t xml:space="preserve">华兴源创处于中游但偏高附加值的专用装备环节，既非资源型上游企业，也非拥有终端品牌溢价的下游企业。公司盈利能力高于普通机械加工企业，但对标准及半标准化部件缺乏充分定价权，且下游客户集中度较高。后续利润改善主要依赖半导体、汽车电子及高端显示检测业务占比提升，软件、算法、测试平台及核心模块收入比重提高，通用化平台和治具复用、项目成本控制、固定资产利用率改善，以及应收账款和存货周转效率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11.3436亿元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23.91%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9488.96万元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20.85%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约291.97万元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约7.70亿元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约18.53%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约9196.99万元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约-15.53%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2025年度业绩快报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22.2431亿元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8055.28万元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上年同期亏损4.9704亿元，本期扭亏为盈</w:t>
            </w:r>
          </w:p>
        </w:tc>
      </w:tr>
    </w:tbl>
    <w:p>
      <w:pPr>
        <w:spacing w:after="200"/>
      </w:pPr>
      <w:r>
        <w:rPr>
          <w:i/>
          <w:iCs/>
          <w:color w:val="595959"/>
          <w:sz w:val="18"/>
          <w:szCs w:val="18"/>
        </w:rPr>
        <w:t xml:space="preserve">最新定期财报为《2026年半年度报告》，报告期截至2026年6月30日，披露日期为2026年8月29日。2025年度数据为未经审计的业绩快报，最终数据应以经审计的2025年年度报告为准。2026年第二季度数据由上半年数据减去一季度数据推算。</w:t>
      </w:r>
    </w:p>
    <w:p>
      <w:pPr>
        <w:spacing w:after="160" w:line="300"/>
      </w:pPr>
      <w:r>
        <w:rPr>
          <w:sz w:val="22"/>
          <w:szCs w:val="22"/>
        </w:rPr>
        <w:t xml:space="preserve">2026年上半年公司营业收入和归母净利润均实现约20%以上增长，检测设备收入约6.2018亿元、治具及配件收入约4.6002亿元，两项合计占主营业务收入约95.25%。内销收入约6.8417亿元，外销收入约4.4963亿元；研发投入约1.58亿元，占营业收入约13.93%。经营活动产生的现金流量净额约7841.96万元，较上年同期明显改善。扣非归母净利润为8428.30万元，同比增长13.11%，低于归母净利润增速；同时，利润主要集中于第二季度，季度间盈利波动较大，需关注非经常性损益、投资收益及收入确认节奏的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预测来自华鑫证券2026年9月11日发布的公司事件点评报告，为单一券商预测，不代表多机构一致预期。报告未披露对应年度净利润预测。按报告数据，2026—2028年收入由29.90亿元增至44.64亿元，三年累计增长约49%；预测能否兑现取决于半导体测试、光电测试及消费电子客户订单放量情况。</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29.90亿元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37.27亿元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44.64亿元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预测2026—2028年EPS分别为0.49元、0.75元和1.09元；目标价未披露。评级逻辑包括消费电子检测设备需求回暖，以及通过控股武汉普赛斯切入光电、半导体测试领域。</w:t>
            </w:r>
          </w:p>
        </w:tc>
      </w:tr>
    </w:tbl>
    <w:p>
      <w:pPr>
        <w:spacing w:before="200"/>
      </w:pPr>
    </w:p>
    <w:p>
      <w:pPr>
        <w:spacing w:after="160" w:line="300"/>
      </w:pPr>
      <w:r>
        <w:rPr>
          <w:sz w:val="22"/>
          <w:szCs w:val="22"/>
        </w:rPr>
        <w:t xml:space="preserve">截至2026年9月11日，股价约62.31元，总股本约4.72亿股，按此粗略计算总市值约293.8亿元。财中网记录的市盈率约308.30倍、扣非市盈率约512.41倍；理杏仁截至2026年9月7日记录的PE-TTM为284.83倍，其他页面截至2026年9月10日显示动态市盈率约315.83倍。不同平台因股价、TTM利润、是否扣非及数据更新时间不同而存在差异，但均显示当前估值处于较高水平。市净率方面，理杏仁数据显示约6.42倍至7.11倍；以2026年半年度报告每股净资产9.13元和股价62.31元粗略计算，PB约6.82倍。按华鑫证券预测，2026—2028年远期PE分别约为136.2倍、89.0倍和60.9倍，即便按2028年EPS预测1.09元计算，远期PE仍约60倍，市场已对未来数年的较高增长进行较充分定价。主要估值风险包括半导体及光电测试业务订单放量不及预期、消费电子资本开支周期波动、客户集中度、应收账款回收、季度利润波动以及盈利预测下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股票交易异常波动：公司否认存在未披露重大事项并提示高估值风险</w:t>
      </w:r>
    </w:p>
    <w:p>
      <w:pPr>
        <w:spacing w:after="160" w:line="300"/>
      </w:pPr>
      <w:r>
        <w:rPr>
          <w:sz w:val="22"/>
          <w:szCs w:val="22"/>
        </w:rPr>
        <w:t xml:space="preserve">华兴源创于2026年9月10日披露股票交易异常波动公告。公司股票于2026年9月7日至9月9日连续三个交易日收盘价格涨幅偏离值累计达到30%。公司表示近期日常经营正常，市场环境及行业政策未发生重大调整，产品研发及商业化准备正常推进；控股股东、实际控制人不存在应披露而未披露的并购重组、股份发行、债务重组、业务重组、资产剥离或资产注入等重大事项，相关董事、高级管理人员、控股股东及实际控制人在异常波动期间不存在买卖公司股票的情况。公司提示，截至2026年9月8日，滚动市盈率为298.52倍，所属专用设备制造业最近一个月平均滚动市盈率为45.03倍，公司存在估值较高及股价短期波动风险。普赛斯收购已完成工商变更登记，但仍处于持续整合过程中。来源：新浪财经公告，链接：https://money.finance.sina.com.cn/corp/view/vCB_AllBulletinDetail.php?id=12592318&amp;stockid=688001</w:t>
      </w:r>
    </w:p>
    <w:p>
      <w:pPr>
        <w:pStyle w:val="Heading2"/>
        <w:spacing w:after="120" w:before="240"/>
      </w:pPr>
      <w:r>
        <w:rPr>
          <w:b/>
          <w:bCs/>
          <w:color w:val="2E74B5"/>
          <w:sz w:val="24"/>
          <w:szCs w:val="24"/>
        </w:rPr>
        <w:t xml:space="preserve">4.2 2026年半年度权益分派：每10股派发现金红利0.21元</w:t>
      </w:r>
    </w:p>
    <w:p>
      <w:pPr>
        <w:spacing w:after="160" w:line="300"/>
      </w:pPr>
      <w:r>
        <w:rPr>
          <w:sz w:val="22"/>
          <w:szCs w:val="22"/>
        </w:rPr>
        <w:t xml:space="preserve">公司于2026年9月12日披露2026年半年度权益分派实施公告。本次每10股派发现金红利0.21元，即每股现金红利0.021元；不进行资本公积金转增股本，不送红股。股权登记日为2026年9月17日，除权除息日及现金红利发放日均为2026年9月18日。截至公告披露日，公司总股本为471,565,619股，扣除回购专用证券账户持有的649,801股后，参与分配的股本为470,915,818股，预计派发现金红利总额为988.92万元（含税）。回购专用证券账户中的股份不参与本次利润分配。来源：新浪财经公告，链接：https://money.finance.sina.com.cn/corp/view/vCB_AllBulletinDetail.php?id=12597675&amp;stockid=688001</w:t>
      </w:r>
    </w:p>
    <w:p>
      <w:pPr>
        <w:pStyle w:val="Heading2"/>
        <w:spacing w:after="120" w:before="240"/>
      </w:pPr>
      <w:r>
        <w:rPr>
          <w:b/>
          <w:bCs/>
          <w:color w:val="2E74B5"/>
          <w:sz w:val="24"/>
          <w:szCs w:val="24"/>
        </w:rPr>
        <w:t xml:space="preserve">4.3 完成收购武汉普赛斯39%股权，持股比例升至51%</w:t>
      </w:r>
    </w:p>
    <w:p>
      <w:pPr>
        <w:spacing w:after="160" w:line="300"/>
      </w:pPr>
      <w:r>
        <w:rPr>
          <w:sz w:val="22"/>
          <w:szCs w:val="22"/>
        </w:rPr>
        <w:t xml:space="preserve">华兴源创于2026年7月22日披露股权收购协议进展暨完成工商变更登记公告。公司此前持有武汉普赛斯电子股份有限公司12%股权，并于2026年4月签署协议，拟使用现金20,616万元收购普赛斯39%股权。交易完成后，公司持有普赛斯51%股权，普赛斯成为华兴源创控股子公司并纳入合并报表范围。截至2026年7月22日，公司已分两期支付收购款，第一期为5,437.6万元，第二期为11,055.2万元；普赛斯已完成工商变更登记，公司已完成董事会成员委派及法定代表人、公司章程等变更备案。普赛斯主要从事光电半导体和功率半导体领域测试仪器仪表及测试装备的生产销售。来源：巨潮资讯网，链接：https://static.cninfo.com.cn/finalpage/2026-07-22/1225434650.PDF</w:t>
      </w:r>
    </w:p>
    <w:p>
      <w:pPr>
        <w:pStyle w:val="Heading2"/>
        <w:spacing w:after="120" w:before="240"/>
      </w:pPr>
      <w:r>
        <w:rPr>
          <w:b/>
          <w:bCs/>
          <w:color w:val="2E74B5"/>
          <w:sz w:val="24"/>
          <w:szCs w:val="24"/>
        </w:rPr>
        <w:t xml:space="preserve">4.4 普赛斯并购仍处于持续整合阶段，协同效果存在不确定性</w:t>
      </w:r>
    </w:p>
    <w:p>
      <w:pPr>
        <w:spacing w:after="160" w:line="300"/>
      </w:pPr>
      <w:r>
        <w:rPr>
          <w:sz w:val="22"/>
          <w:szCs w:val="22"/>
        </w:rPr>
        <w:t xml:space="preserve">公司在2026年9月10日股票交易异常波动公告中表示，普赛斯收购虽已完成工商变更登记，但目前仍处于持续整合过程中。需关注普赛斯纳入合并报表后的收入、利润及现金流贡献，双方客户、研发、供应链及销售渠道的协同情况，并购后的管理整合及业务整合成本，以及光电半导体和功率半导体测试设备市场竞争加剧风险。公司2026年半年度报告披露，截至报告期末已对普赛斯投资1.246866亿元；截至半年报披露日，公司工商持股比例已变更为51%，普赛斯纳入控股范围。</w:t>
      </w:r>
    </w:p>
    <w:p>
      <w:pPr>
        <w:pStyle w:val="Heading2"/>
        <w:spacing w:after="120" w:before="240"/>
      </w:pPr>
      <w:r>
        <w:rPr>
          <w:b/>
          <w:bCs/>
          <w:color w:val="2E74B5"/>
          <w:sz w:val="24"/>
          <w:szCs w:val="24"/>
        </w:rPr>
        <w:t xml:space="preserve">4.5 2026年半年度业绩保持增长，尚无新的全年业绩指引</w:t>
      </w:r>
    </w:p>
    <w:p>
      <w:pPr>
        <w:spacing w:after="160" w:line="300"/>
      </w:pPr>
      <w:r>
        <w:rPr>
          <w:sz w:val="22"/>
          <w:szCs w:val="22"/>
        </w:rPr>
        <w:t xml:space="preserve">公司于2026年8月29日披露2026年半年度报告。2026年上半年营业收入约11.34亿元，同比增长23.91%；归属于上市公司股东的净利润约9,488.96万元，同比增长20.85%；归属于上市公司股东的扣除非经常性损益后的净利润约8,400万元，同比增长13.11%。公司拟派发的2026年半年度现金红利约988.92万元，占2026年上半年归母净利润的比例约10.42%。截至2026年9月13日，未检索到公司针对2026年第三季度或2026年全年发布新的业绩预告、业绩预告修正或明确的全年盈利指引。上述半年度数据为已披露实际经营数据，不是未来盈利预测。来源：新浪财经公告，链接：https://money.finance.sina.com.cn/corp/view/vCB_AllBulletinDetail.php?id=12566810&amp;stockid=688001；公告检索链接：https://www.lixinger.com/equity/company/detail/sh/688001/688001/announcement?type=all</w:t>
      </w:r>
    </w:p>
    <w:p>
      <w:pPr>
        <w:pStyle w:val="Heading2"/>
        <w:spacing w:after="120" w:before="240"/>
      </w:pPr>
      <w:r>
        <w:rPr>
          <w:b/>
          <w:bCs/>
          <w:color w:val="2E74B5"/>
          <w:sz w:val="24"/>
          <w:szCs w:val="24"/>
        </w:rPr>
        <w:t xml:space="preserve">4.6 回购股份减持计划到期未实施，回购专户仍持有649,801股</w:t>
      </w:r>
    </w:p>
    <w:p>
      <w:pPr>
        <w:spacing w:after="160" w:line="300"/>
      </w:pPr>
      <w:r>
        <w:rPr>
          <w:sz w:val="22"/>
          <w:szCs w:val="22"/>
        </w:rPr>
        <w:t xml:space="preserve">公司于2026年7月23日披露回购股份减持时间届满未减持股份的结果公告。此前公司计划于2026年1月23日至2026年7月22日期间，通过集中竞价方式减持不超过434,946股已回购股份，占当时公司总股本约0.0922%。截至2026年7月22日，该减持计划期限届满，公司实际未减持或转让相关股份，主要原因为维护投资者权益、增强市场信心。回购专用证券账户持有股份数量为649,801股，相关减持计划未设置最低减持数量。来源：巨潮资讯网，链接：https://static.cninfo.com.cn/finalpage/2026-07-23/1225437369.PDF</w:t>
      </w:r>
    </w:p>
    <w:p>
      <w:pPr>
        <w:pStyle w:val="Heading2"/>
        <w:spacing w:after="120" w:before="240"/>
      </w:pPr>
      <w:r>
        <w:rPr>
          <w:b/>
          <w:bCs/>
          <w:color w:val="2E74B5"/>
          <w:sz w:val="24"/>
          <w:szCs w:val="24"/>
        </w:rPr>
        <w:t xml:space="preserve">4.7 异常波动期间未发现核心股东及管理层买卖公司股票</w:t>
      </w:r>
    </w:p>
    <w:p>
      <w:pPr>
        <w:spacing w:after="160" w:line="300"/>
      </w:pPr>
      <w:r>
        <w:rPr>
          <w:sz w:val="22"/>
          <w:szCs w:val="22"/>
        </w:rPr>
        <w:t xml:space="preserve">公司在2026年9月10日股票交易异常波动公告中披露，董事、高级管理人员、控股股东及实际控制人在股票交易异常波动期间不存在买卖公司股票的情况。截至公告披露日，未发现公司核心管理层或实际控制人利用本次短期股价异动进行增持或减持的公告事项。来源：新浪财经公告，链接：https://money.finance.sina.com.cn/corp/view/vCB_AllBulletinDetail.php?id=12592318&amp;stockid=688001</w:t>
      </w:r>
    </w:p>
    <w:p>
      <w:pPr>
        <w:pStyle w:val="Heading2"/>
        <w:spacing w:after="120" w:before="240"/>
      </w:pPr>
      <w:r>
        <w:rPr>
          <w:b/>
          <w:bCs/>
          <w:color w:val="2E74B5"/>
          <w:sz w:val="24"/>
          <w:szCs w:val="24"/>
        </w:rPr>
        <w:t xml:space="preserve">4.8 截至2026年9月13日未发现新增监管处罚、重大问询或并购计划</w:t>
      </w:r>
    </w:p>
    <w:p>
      <w:pPr>
        <w:spacing w:after="160" w:line="300"/>
      </w:pPr>
      <w:r>
        <w:rPr>
          <w:sz w:val="22"/>
          <w:szCs w:val="22"/>
        </w:rPr>
        <w:t xml:space="preserve">截至2026年9月13日，未发现华兴源创在2026年9月新增监管处罚、纪律处分、监管措施或交易所问询公告。9月10日披露的股票交易异常波动公告属于交易所规则要求下的风险提示类公告，不代表公司受到处罚或存在违规。同时，公司未公告新的重大并购重组、资产注入或业务重组计划；近期已公告的重大并购事项仍主要为2026年4月收购普赛斯39%股权并于2026年7月完成工商变更登记。上述结论基于截至日期前可检索到的公开公告，不能排除后续公告或尚未公开披露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688001 华兴源创；苏州华兴源创科技股份有限公司，科创板上市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2019年7月22日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62.31元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下跌2.29元，跌幅3.545%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开盘63.76元；最高65.30元；最低60.38元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成交额与成交量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成交额约10.83亿元；成交量约1,732万股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总市值约303.7亿元；流通市值约304.63亿元，不同平台口径可能存在差异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约346.17倍；研究纪要称与每股收益约0.18元的静态口径相匹配，属于高估值水平</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26.30~94.07元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过去一年涨跌幅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约上涨102.57%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9月4日收盘48.55元，9月9日升至66.31元，五个交易日累计上涨约36.6%；9月10日至11日连续回落，呈现快速拉升后冲高回落形态</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异常波动事项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9月7日至9月9日连续三个交易日收盘涨幅偏离值累计达到30%；公司于2026年9月10日披露股票交易异常波动公告，并称不存在应披露而未披露的重大事项</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约62.51元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最新收盘价62.31元略低于MA5，显示短线冲高后动能降温，存在震荡或回踩压力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约56.85元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明显低于最新收盘价，显示股价仍处于近期快速拉升后的相对强势区间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约55.15元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明显低于最新收盘价，当前尚未跌破中短期趋势支撑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MA5高于MA10和MA20；最新收盘价略低于MA5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整体仍为多头排列，但短线趋势由强攻转入震荡确认阶段</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约68.9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接近70这一常用偏热区间，近期上涨动能较强，但短线继续追涨的盈亏比下降；不同平台因样本及复权口径不同，数值可能存在小幅差异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中轨约55.15元；上轨约65.21元；下轨约45.10元；20日收盘价标准差约5.03元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最新收盘价位于中轨上方、接近上轨；若不能重新站稳65元附近，存在向中轨及MA20均值回归的可能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截至2026年9月11日收盘的完整数值未能从可访问页面中核实</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研究纪要未使用2026年7月31日的历史MACD数据替代；是否死叉及红柱是否缩短，需要以带完整历史收盘数据的终端进一步确认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2026年9月11日净流出约1.26亿元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当日股价下跌且成交额约10.83亿元，呈现放量下跌、主力净流出的偏弱资金特征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2026年9月11日融资买入额约1.02亿元，融资余额约6.60亿元，占流通市值约2.25%；9月10日融资余额约6.50亿元，占比约2.13%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杠杆资金参与度提高，但融资资金不等同于长期机构资金；若股价继续回落，较高融资余额可能放大短期波动和被动减仓压力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2026年9月7日至9月11日约7.51亿~15.30亿元，平均约11.4亿元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9月8日成交额约15.30亿元，9月10日缩减至约7.51亿元，9月11日回升至约10.83亿元，量能伴随高位回落出现波动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成交量对比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2026年9月11日约1,732万股；3个月日均成交量约1,096万股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当日成交量高于3个月日均水平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截至2026年6月30日，前十大流通股东合计持有约3.68亿股，占流通股约78.11%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流通筹码集中度较高；该数据存在季度滞后，2026年9月实际筹码结构可能已经发生变化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截至2026年6月30日，同花顺披露机构持仓合计约3.14亿股，占流通盘约66.62%；基金约1533.64万股，占约3.16%；QFII约172.39万股，占约0.37%；其他机构约2.97亿股，占约63%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机构持仓中“其他机构”占比较大，公募基金和QFII占比相对有限，不能简单等同于公募基金主导的稳定机构持仓</w:t>
            </w:r>
          </w:p>
        </w:tc>
      </w:tr>
    </w:tbl>
    <w:p>
      <w:pPr>
        <w:spacing w:before="200"/>
      </w:pPr>
    </w:p>
    <w:p>
      <w:pPr>
        <w:spacing w:after="160" w:line="300"/>
      </w:pPr>
      <w:r>
        <w:rPr>
          <w:sz w:val="22"/>
          <w:szCs w:val="22"/>
        </w:rPr>
        <w:t xml:space="preserve">截至2026年9月11日，华兴源创股价在9月4日至9月9日快速上涨后连续两日回落，短线呈现高波动及获利盘兑现压力。最新收盘价略低于MA5，但仍明显高于MA10和MA20；RSI(14)接近70，股价位于布林中轨上方并接近上轨，技术形态仍处于相对强势区间，但短线动能已有降温迹象。9月11日主力资金净流出约1.26亿元，融资余额占流通市值约2.25%，需关注杠杆资金可能放大的波动。MACD截至该日的完整数值未能核实，不作方向性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风险提示：以下内容仅为基于截至2026年9月11日收盘数据的主观情景推演，不构成投资建议，也不是单点价格预测；情景权重为基于当前技术形态和资金流向的主观启发式判断，不是统计概率。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65.2~67.9元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65.2元附近对应布林上轨及9月11日当日高点附近，67.9元附近对应9月9日盘中高点67.88元。若放量突破该区间，可能打开对70元上方及前期更高压力的观察空间；若多次冲击未果，可能维持高位震荡或出现获利盘兑现。</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60.3~62.5元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60.3元附近对应9月11日盘中低点60.38元，62.5元附近对应MA5约62.51元。若在该区间止跌并重新站回MA5，短线仍可能维持强势震荡；若有效跌破60元附近，调整幅度可能扩大。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55.1~58.3元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55.1元附近对应MA20约55.15元，58.3元附近对应9月7日收盘价58.26元，属于近期突破平台和中期均线重合区域。若有效跌破55元附近，价格可能向48~52元区域甚至布林下轨约45.1元附近寻找支撑。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高位震荡整理（相对权重较高，约五成至六成；主观启发式权重，非统计概率）：观察区间约58~66元。触发条件包括股价守住60元附近且未有效跌破55~58元支撑区，成交额维持约8亿~12亿元且不出现持续放量下跌，65~68元区域反复受压并消化异常波动公告及前期快速上涨。</w:t>
      </w:r>
    </w:p>
    <w:p>
      <w:pPr>
        <w:pStyle w:val="ListParagraph"/>
        <w:numPr>
          <w:ilvl w:val="0"/>
          <w:numId w:val="2"/>
        </w:numPr>
        <w:spacing w:after="80" w:line="280"/>
      </w:pPr>
      <w:r>
        <w:rPr>
          <w:sz w:val="22"/>
          <w:szCs w:val="22"/>
        </w:rPr>
        <w:t xml:space="preserve">偏弱下行（权重中等，约三成；主观启发式权重，非统计概率）：观察区间约48~56元。触发条件包括有效跌破60元并进一步跌破55~58元支撑区，主力资金继续净流出且下跌日成交额持续放大至12亿~15亿元以上，科创板或半导体检测设备等相关板块同步走弱，融资资金出现明显减仓压力。若跌破MA20约55.15元，下方可继续观察48~52元区域及布林下轨约45.1元附近。</w:t>
      </w:r>
    </w:p>
    <w:p>
      <w:pPr>
        <w:pStyle w:val="ListParagraph"/>
        <w:numPr>
          <w:ilvl w:val="0"/>
          <w:numId w:val="2"/>
        </w:numPr>
        <w:spacing w:after="80" w:line="280"/>
      </w:pPr>
      <w:r>
        <w:rPr>
          <w:sz w:val="22"/>
          <w:szCs w:val="22"/>
        </w:rPr>
        <w:t xml:space="preserve">反弹走强（相对权重偏低，约两成；主观启发式权重，非统计概率）：观察区间约66~72元。触发条件包括重新站上65~66元并有效突破9月9日高点67.88元，单日成交额重新放大至15亿元以上且上涨日成交量明显高于近期均值，主力资金由净流出转为连续净流入，科创板及半导体测试、光电测试等相关方向出现板块共振，且公司后续公告或行业催化未出现新的风险提示。由于RSI(14)已接近70且此前短期涨幅较大，即使突破也需观察冲高回落及量价背离风险。</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3.67%，高于9月10日的2.44%，但低于9月8日的5.31%和9月7日的4.10%；最近5个交易日成交额约7.51亿~15.30亿元，9月11日成交量约1,732万股，高于3个月日均约1,096万股。前十大流通股东及机构持仓数据为截至2026年6月30日的中报口径，前十大流通股东合计持股约78.11%，但实际筹码结构可能已发生变化；其中公募基金和QFII占比较有限，其他机构占比较大。融资余额占流通市值约2.25%，杠杆资金参与度较高，可能放大短期波动。上述数据表明近期成交活跃度较高，但资金流向偏谨慎，观察重点应放在压力位突破是否获得成交额和主力资金共同确认。</w:t>
      </w:r>
    </w:p>
    <w:p>
      <w:pPr>
        <w:spacing w:after="160" w:line="300"/>
      </w:pPr>
      <w:r>
        <w:rPr>
          <w:sz w:val="22"/>
          <w:szCs w:val="22"/>
        </w:rPr>
        <w:t xml:space="preserve">若后续单日成交额持续达到15亿元以上，同时股价收盘重新站上65.2~67.9元压力区，且主力资金不再明显净流出，可视为短线资金重新增强的观察信号；若成交额放大但股价继续跌破60元甚至55元，则更接近放量派发或高位换手风险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观察60.3~62.5元区域能否形成短线承接，以及股价能否重新站回MA5。</w:t>
      </w:r>
    </w:p>
    <w:p>
      <w:pPr>
        <w:pStyle w:val="ListParagraph"/>
        <w:numPr>
          <w:ilvl w:val="0"/>
          <w:numId w:val="2"/>
        </w:numPr>
        <w:spacing w:after="80" w:line="280"/>
      </w:pPr>
      <w:r>
        <w:rPr>
          <w:sz w:val="22"/>
          <w:szCs w:val="22"/>
        </w:rPr>
        <w:t xml:space="preserve">观察55.1~58.3元区域是否守住MA20和近期突破平台；若失守，继续关注48~52元及布林下轨约45.1元附近。</w:t>
      </w:r>
    </w:p>
    <w:p>
      <w:pPr>
        <w:pStyle w:val="ListParagraph"/>
        <w:numPr>
          <w:ilvl w:val="0"/>
          <w:numId w:val="2"/>
        </w:numPr>
        <w:spacing w:after="80" w:line="280"/>
      </w:pPr>
      <w:r>
        <w:rPr>
          <w:sz w:val="22"/>
          <w:szCs w:val="22"/>
        </w:rPr>
        <w:t xml:space="preserve">观察65.2~67.9元压力区能否在成交额达到15亿元以上、主力资金不再明显净流出的情况下有效突破。</w:t>
      </w:r>
    </w:p>
    <w:p>
      <w:pPr>
        <w:pStyle w:val="ListParagraph"/>
        <w:numPr>
          <w:ilvl w:val="0"/>
          <w:numId w:val="2"/>
        </w:numPr>
        <w:spacing w:after="80" w:line="280"/>
      </w:pPr>
      <w:r>
        <w:rPr>
          <w:sz w:val="22"/>
          <w:szCs w:val="22"/>
        </w:rPr>
        <w:t xml:space="preserve">观察2026年9月11日主力资金净流出约1.26亿元的状态是否转为连续净流入，并关注融资余额较高背景下的量价及融资压力变化。以上均为观察思路，非操作指令。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华兴源创横跨工业自动化测试设备、平板显示检测、消费电子组装及检测、半导体测试设备、汽车电子和新能源汽车测试、机器视觉及工业智能装备等领域，不能简单归类为单一的半导体设备公司或单一的面板设备公司。行业具有技术密集、定制化程度高、客户认证壁垒高、资本开支周期明显及规模化与定制化并存等特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技术涉及光学、图像算法、电子测试、机械结构、运动控制、自动化软件和工业数据系统等多学科能力。</w:t>
      </w:r>
    </w:p>
    <w:p>
      <w:pPr>
        <w:pStyle w:val="ListParagraph"/>
        <w:numPr>
          <w:ilvl w:val="0"/>
          <w:numId w:val="2"/>
        </w:numPr>
        <w:spacing w:after="80" w:line="280"/>
      </w:pPr>
      <w:r>
        <w:rPr>
          <w:sz w:val="22"/>
          <w:szCs w:val="22"/>
        </w:rPr>
        <w:t xml:space="preserve">不同客户的产品型号、测试项目、工艺流程、产线布局和节拍要求差异较大，设备通常需要项目化开发、现场调试及交付。</w:t>
      </w:r>
    </w:p>
    <w:p>
      <w:pPr>
        <w:pStyle w:val="ListParagraph"/>
        <w:numPr>
          <w:ilvl w:val="0"/>
          <w:numId w:val="2"/>
        </w:numPr>
        <w:spacing w:after="80" w:line="280"/>
      </w:pPr>
      <w:r>
        <w:rPr>
          <w:sz w:val="22"/>
          <w:szCs w:val="22"/>
        </w:rPr>
        <w:t xml:space="preserve">设备需在客户产线经过验证，供应商除满足精度和稳定性要求外，还需要具备快速响应、现场调试和售后保障能力。</w:t>
      </w:r>
    </w:p>
    <w:p>
      <w:pPr>
        <w:pStyle w:val="ListParagraph"/>
        <w:numPr>
          <w:ilvl w:val="0"/>
          <w:numId w:val="2"/>
        </w:numPr>
        <w:spacing w:after="80" w:line="280"/>
      </w:pPr>
      <w:r>
        <w:rPr>
          <w:sz w:val="22"/>
          <w:szCs w:val="22"/>
        </w:rPr>
        <w:t xml:space="preserve">需求受面板厂和半导体厂资本开支、消费电子新品周期、新能源汽车产能投资及客户设备更新改造需求影响，行业周期性明显。</w:t>
      </w:r>
    </w:p>
    <w:p>
      <w:pPr>
        <w:pStyle w:val="ListParagraph"/>
        <w:numPr>
          <w:ilvl w:val="0"/>
          <w:numId w:val="2"/>
        </w:numPr>
        <w:spacing w:after="80" w:line="280"/>
      </w:pPr>
      <w:r>
        <w:rPr>
          <w:sz w:val="22"/>
          <w:szCs w:val="22"/>
        </w:rPr>
        <w:t xml:space="preserve">国际厂商在部分高端半导体测试、机器视觉及工业自动化领域仍具备技术和客户积累优势，国内企业凭借本地化服务、成本优势和国产替代逐步扩大市场份额。</w:t>
      </w:r>
    </w:p>
    <w:p>
      <w:pPr>
        <w:pStyle w:val="ListParagraph"/>
        <w:numPr>
          <w:ilvl w:val="0"/>
          <w:numId w:val="2"/>
        </w:numPr>
        <w:spacing w:after="80" w:line="280"/>
      </w:pPr>
      <w:r>
        <w:rPr>
          <w:sz w:val="22"/>
          <w:szCs w:val="22"/>
        </w:rPr>
        <w:t xml:space="preserve">单台设备定制化程度较高，但部分测试平台、软件模块、板卡、治具和自动化单元可以复用，行业同时具备定制化和规模化特征。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精测电子（300567）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平板显示检测系统，并布局半导体检测和新能源设备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与华兴源创在平板显示检测、OLED检测及半导体检测等领域重叠度较高，是较直接的综合性可比公司；华兴源创在智能穿戴组装检测、治具及配件、汽车电子等方面更加多元。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凌云光（688400）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机器视觉、智能视觉装备、视觉系统、核心视觉器件和光通信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在显示屏检测、3C电子外观检测、智能产线及新能源视觉检测方面存在交集；凌云光更偏全栈机器视觉和通用视觉系统，华兴源创更偏具体客户工艺的测试设备、治具及整线系统。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天准科技（688003）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视觉测量装备、视觉检测装备、视觉制程装备和智能网联方案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服务半导体、消费电子和新能源汽车；天准科技更偏高精度机器视觉测量、视觉检测和智能制程装备，华兴源创更偏显示触控测试、电子功能测试、半导体ATE相关设备、治具及整线系统。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长川科技（300604）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半导体测试装备，包括测试机、分选机、探针台和AOI设备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与华兴源创半导体事业部在测试机、分选机、AOI及相关自动化测试领域存在竞争；长川科技业务聚焦度更高，华兴源创仍有较多显示和消费电子设备业务。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华峰测控（688200）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半导体自动化测试系统及配件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主要面向集成电路设计、IDM、晶圆制造及封装测试客户；华峰测控更专注半导体自动化测试系统，华兴源创半导体产品覆盖SoC、CIS、BMS、RF和先进封装，同时拥有显示和消费电子业务。</w:t>
            </w:r>
          </w:p>
        </w:tc>
      </w:tr>
    </w:tbl>
    <w:p>
      <w:pPr>
        <w:spacing w:before="200"/>
      </w:pPr>
    </w:p>
    <w:p>
      <w:pPr>
        <w:spacing w:after="160" w:line="300"/>
      </w:pPr>
      <w:r>
        <w:rPr>
          <w:sz w:val="22"/>
          <w:szCs w:val="22"/>
        </w:rPr>
        <w:t xml:space="preserve">由于华兴源创同时覆盖平板显示、消费电子、半导体和汽车电子，不存在一家能够完全覆盖其全部业务的上市公司。精测电子是较直接的综合性可比公司；凌云光和天准科技主要在机器视觉、显示及智能制程装备方面重叠；长川科技和华峰测控主要在半导体测试设备方面重叠。上述公司均属于分业务维度的可比对象，并非与华兴源创完全同口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估值与业绩增速不匹配风险：截至2026年9月11日股价约62.31元，动态市盈率约346倍，相关平台披露的市盈率约285倍至346倍；即使按单一券商预测的2028年EPS 1.09元计算，远期市盈率仍约60倍，若实际业绩低于预期，估值波动可能被放大。</w:t>
      </w:r>
    </w:p>
    <w:p>
      <w:pPr>
        <w:pStyle w:val="ListParagraph"/>
        <w:numPr>
          <w:ilvl w:val="0"/>
          <w:numId w:val="2"/>
        </w:numPr>
        <w:spacing w:after="80" w:line="280"/>
      </w:pPr>
      <w:r>
        <w:rPr>
          <w:sz w:val="22"/>
          <w:szCs w:val="22"/>
        </w:rPr>
        <w:t xml:space="preserve">普赛斯并购整合风险：公司已完成收购武汉普赛斯39%股权并将持股比例提升至51%，但公告明确其仍处于持续整合阶段；双方在客户、研发、供应链和销售渠道方面的协同效果、整合成本及普赛斯对收入利润和现金流的实际贡献均存在不确定性。</w:t>
      </w:r>
    </w:p>
    <w:p>
      <w:pPr>
        <w:pStyle w:val="ListParagraph"/>
        <w:numPr>
          <w:ilvl w:val="0"/>
          <w:numId w:val="2"/>
        </w:numPr>
        <w:spacing w:after="80" w:line="280"/>
      </w:pPr>
      <w:r>
        <w:rPr>
          <w:sz w:val="22"/>
          <w:szCs w:val="22"/>
        </w:rPr>
        <w:t xml:space="preserve">客户集中与议价风险：2025年前五大客户销售占比49.17%，第一大客户占比14.91%；客户名称匿名且大型面板、消费电子、半导体及汽车企业采购议价能力较强，客户订单推迟、资本开支下降、项目降价或集中度进一步上升，可能影响公司收入和毛利率。</w:t>
      </w:r>
    </w:p>
    <w:p>
      <w:pPr>
        <w:pStyle w:val="ListParagraph"/>
        <w:numPr>
          <w:ilvl w:val="0"/>
          <w:numId w:val="2"/>
        </w:numPr>
        <w:spacing w:after="80" w:line="280"/>
      </w:pPr>
      <w:r>
        <w:rPr>
          <w:sz w:val="22"/>
          <w:szCs w:val="22"/>
        </w:rPr>
        <w:t xml:space="preserve">应收账款与存货占用风险：截至2025年末应收账款净额15.96亿元、存货8.84亿元，合计约相当于2025年营业收入的110.8%；若客户验收、回款或项目交付节奏变化，可能导致经营现金流承压、存货减值或应收账款信用损失增加。</w:t>
      </w:r>
    </w:p>
    <w:p>
      <w:pPr>
        <w:pStyle w:val="ListParagraph"/>
        <w:numPr>
          <w:ilvl w:val="0"/>
          <w:numId w:val="2"/>
        </w:numPr>
        <w:spacing w:after="80" w:line="280"/>
      </w:pPr>
      <w:r>
        <w:rPr>
          <w:sz w:val="22"/>
          <w:szCs w:val="22"/>
        </w:rPr>
        <w:t xml:space="preserve">项目定制化与毛利率波动风险：公司设备通常按客户产品结构、工艺流程、测试指标和产线节拍定制，项目报价在前期确定，原材料、人工、制造费用及后续调试服务成本上涨未必能够及时向客户传导；2024年公司毛利率降至42.12%，2025年修复至46.32%，盈利能力仍可能随产品结构和项目交付变化而波动。</w:t>
      </w:r>
    </w:p>
    <w:p>
      <w:pPr>
        <w:pStyle w:val="ListParagraph"/>
        <w:numPr>
          <w:ilvl w:val="0"/>
          <w:numId w:val="2"/>
        </w:numPr>
        <w:spacing w:after="80" w:line="280"/>
      </w:pPr>
      <w:r>
        <w:rPr>
          <w:sz w:val="22"/>
          <w:szCs w:val="22"/>
        </w:rPr>
        <w:t xml:space="preserve">下游资本开支周期风险：平板显示、消费电子、半导体和新能源汽车客户的设备采购分别受到面板及半导体资本开支、新品周期和汽车产能投资影响；若相关客户投资放缓，检测设备、组装设备及治具配件订单可能出现阶段性波动。</w:t>
      </w:r>
    </w:p>
    <w:p>
      <w:pPr>
        <w:pStyle w:val="ListParagraph"/>
        <w:numPr>
          <w:ilvl w:val="0"/>
          <w:numId w:val="2"/>
        </w:numPr>
        <w:spacing w:after="80" w:line="280"/>
      </w:pPr>
      <w:r>
        <w:rPr>
          <w:sz w:val="22"/>
          <w:szCs w:val="22"/>
        </w:rPr>
        <w:t xml:space="preserve">短期股价及融资交易风险：公司股价在2026年9月4日至9月9日累计上涨约36.6%，随后连续两日回落；9月11日股价放量下跌、主力资金净流出约1.26亿元，融资余额约6.60亿元，占流通市值约2.25%，若股价继续回落，融资资金可能放大短期波动和被动减仓压力。</w:t>
      </w:r>
    </w:p>
    <w:p>
      <w:pPr>
        <w:pStyle w:val="ListParagraph"/>
        <w:numPr>
          <w:ilvl w:val="0"/>
          <w:numId w:val="2"/>
        </w:numPr>
        <w:spacing w:after="80" w:line="280"/>
      </w:pPr>
      <w:r>
        <w:rPr>
          <w:sz w:val="22"/>
          <w:szCs w:val="22"/>
        </w:rPr>
        <w:t xml:space="preserve">季度盈利与业绩兑现风险：2026年上半年利润主要集中于第二季度，扣非归母净利润增速低于归母净利润增速，且公司尚未发布新的2026年第三季度或全年业绩指引；收入确认节奏、非经常性损益、投资收益及新业务订单放量情况可能导致实际业绩与市场预期出现偏差。</w:t>
      </w:r>
    </w:p>
    <w:p>
      <w:pPr>
        <w:pStyle w:val="ListParagraph"/>
        <w:numPr>
          <w:ilvl w:val="0"/>
          <w:numId w:val="2"/>
        </w:numPr>
        <w:spacing w:after="80" w:line="280"/>
      </w:pPr>
      <w:r>
        <w:rPr>
          <w:sz w:val="22"/>
          <w:szCs w:val="22"/>
        </w:rPr>
        <w:t xml:space="preserve">汇率与采购成本风险：公司进口原材料主要使用日元结算，出口产品主要使用美元结算，汇率变化可能同时影响采购成本和外销收入折算；此外，原材料仍是检测设备和治具及配件的主要成本项目，项目报价确定后成本上涨可能压缩利润。</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兴源创的基本面正在从2024年的低谷中修复，2025年收入增长并实现扭亏，2026年上半年收入和利润延续增长。公司在测试方案、光学及图像算法、电子测试平台、自动化控制和客户认证交付等方面形成综合能力，多业务布局有助于分散单一显示或消费电子周期的影响。后续增长能否延续，主要取决于检测设备主业订单持续性、半导体及汽车电子业务放量、普赛斯并购协同，以及产品平台复用和成本控制能力。</w:t>
      </w:r>
    </w:p>
    <w:p>
      <w:pPr>
        <w:spacing w:after="160" w:line="300"/>
      </w:pPr>
      <w:r>
        <w:rPr>
          <w:sz w:val="22"/>
          <w:szCs w:val="22"/>
        </w:rPr>
        <w:t xml:space="preserve">盈利质量仍需进一步观察。2026年上半年扣非净利润增速低于归母净利润增速，利润集中于第二季度，说明收入确认节奏、非经常性损益及投资收益等因素可能对季度表现产生影响；同时，较高的应收账款和存货规模会占用现金，客户集中和大型客户较强议价能力也可能压制项目毛利率。</w:t>
      </w:r>
    </w:p>
    <w:p>
      <w:pPr>
        <w:spacing w:after="160" w:line="300"/>
      </w:pPr>
      <w:r>
        <w:rPr>
          <w:sz w:val="22"/>
          <w:szCs w:val="22"/>
        </w:rPr>
        <w:t xml:space="preserve">从市场定价和技术走势看，股价近期涨幅较大，估值已对未来数年较高增长形成较充分预期。若半导体、光电测试等新业务订单和利润贡献未达到预期，或并购整合进度、现金流改善不及预期，估值消化压力可能加大；若后续能够维持收入增长、改善盈利质量和周转效率，则公司多业务平台化发展的逻辑仍有进一步验证空间。</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Snapshot | 上海证券交易所 — https://star.sse.com.cn/en/marketdata/snapshot/?utm_source=openai</w:t>
      </w:r>
    </w:p>
    <w:p>
      <w:pPr>
        <w:spacing w:after="200"/>
      </w:pPr>
      <w:r>
        <w:rPr>
          <w:i/>
          <w:iCs/>
          <w:color w:val="595959"/>
          <w:sz w:val="18"/>
          <w:szCs w:val="18"/>
        </w:rPr>
        <w:t xml:space="preserve">平板事业（FPD）-苏州华兴源创科技股份有限公司 — https://www.hyc.com/products/fpd</w:t>
      </w:r>
    </w:p>
    <w:p>
      <w:pPr>
        <w:spacing w:after="200"/>
      </w:pPr>
      <w:r>
        <w:rPr>
          <w:i/>
          <w:iCs/>
          <w:color w:val="595959"/>
          <w:sz w:val="18"/>
          <w:szCs w:val="18"/>
        </w:rPr>
        <w:t xml:space="preserve">苏州华兴源创科技股份有限公司2025年年度报告 — https://static.cninfo.com.cn/finalpage/2026-04-30/1225259389.PDF?utm_source=openai</w:t>
      </w:r>
    </w:p>
    <w:p>
      <w:pPr>
        <w:spacing w:after="200"/>
      </w:pPr>
      <w:r>
        <w:rPr>
          <w:i/>
          <w:iCs/>
          <w:color w:val="595959"/>
          <w:sz w:val="18"/>
          <w:szCs w:val="18"/>
        </w:rPr>
        <w:t xml:space="preserve">苏州华兴源创科技股份有限公司2025年年度报告 — https://static.cninfo.com.cn/finalpage/2026-04-30/1225259389.PDF</w:t>
      </w:r>
    </w:p>
    <w:p>
      <w:pPr>
        <w:spacing w:after="200"/>
      </w:pPr>
      <w:r>
        <w:rPr>
          <w:i/>
          <w:iCs/>
          <w:color w:val="595959"/>
          <w:sz w:val="18"/>
          <w:szCs w:val="18"/>
        </w:rPr>
        <w:t xml:space="preserve">华兴源创 — https://static.cninfo.com.cn/finalpage/2019-07-03/1206416030.PDF</w:t>
      </w:r>
    </w:p>
    <w:p>
      <w:pPr>
        <w:spacing w:after="200"/>
      </w:pPr>
      <w:r>
        <w:rPr>
          <w:i/>
          <w:iCs/>
          <w:color w:val="595959"/>
          <w:sz w:val="18"/>
          <w:szCs w:val="18"/>
        </w:rPr>
        <w:t xml:space="preserve">关于我们 - 凌云光技术股份有限公司 — https://www.lusterinc.com/about-lusterinc/company-profile/about/?utm_source=openai</w:t>
      </w:r>
    </w:p>
    <w:p>
      <w:pPr>
        <w:spacing w:after="200"/>
      </w:pPr>
      <w:r>
        <w:rPr>
          <w:i/>
          <w:iCs/>
          <w:color w:val="595959"/>
          <w:sz w:val="18"/>
          <w:szCs w:val="18"/>
        </w:rPr>
        <w:t xml:space="preserve">股份有限公司 — https://star.sse.com.cn/disclosure/listedinfo/announcement/c/new/2022-08-18/688003_20220818_2_MrNZfjPO.pdf?utm_source=openai</w:t>
      </w:r>
    </w:p>
    <w:p>
      <w:pPr>
        <w:spacing w:after="200"/>
      </w:pPr>
      <w:r>
        <w:rPr>
          <w:i/>
          <w:iCs/>
          <w:color w:val="595959"/>
          <w:sz w:val="18"/>
          <w:szCs w:val="18"/>
        </w:rPr>
        <w:t xml:space="preserve">杭州长川科技股份有限公司 — https://www.hzcctech.com/companyprofile/?utm_source=openai</w:t>
      </w:r>
    </w:p>
    <w:p>
      <w:pPr>
        <w:spacing w:after="200"/>
      </w:pPr>
      <w:r>
        <w:rPr>
          <w:i/>
          <w:iCs/>
          <w:color w:val="595959"/>
          <w:sz w:val="18"/>
          <w:szCs w:val="18"/>
        </w:rPr>
        <w:t xml:space="preserve">华峰测控(688200)_公司公告_华峰测控：2025年度报告摘要新浪财经_新浪网 — https://vip.stock.finance.sina.com.cn/corp/view/vCB_AllBulletinDetail.php?id=12258245&amp;stockid=688200&amp;utm_source=openai</w:t>
      </w:r>
    </w:p>
    <w:p>
      <w:pPr>
        <w:spacing w:after="200"/>
      </w:pPr>
      <w:r>
        <w:rPr>
          <w:i/>
          <w:iCs/>
          <w:color w:val="595959"/>
          <w:sz w:val="18"/>
          <w:szCs w:val="18"/>
        </w:rPr>
        <w:t xml:space="preserve">华兴源创(688001)_公司公告_华兴源创：2026年半年度报告新浪财经_新浪网 — https://vip.stock.finance.sina.com.cn/corp/view/vCB_AllBulletinDetail.php?id=12566812&amp;stockid=688001</w:t>
      </w:r>
    </w:p>
    <w:p>
      <w:pPr>
        <w:spacing w:after="200"/>
      </w:pPr>
      <w:r>
        <w:rPr>
          <w:i/>
          <w:iCs/>
          <w:color w:val="595959"/>
          <w:sz w:val="18"/>
          <w:szCs w:val="18"/>
        </w:rPr>
        <w:t xml:space="preserve">公司事件点评报告：检测主业盈利修复，切入光电测试业务打造第二增长曲线- 宏观研究报告 _ 数据中心 _ 东方财富网 — https://data.eastmoney.com/report/info/AP202609111829245030.html?utm_source=openai</w:t>
      </w:r>
    </w:p>
    <w:p>
      <w:pPr>
        <w:spacing w:after="200"/>
      </w:pPr>
      <w:r>
        <w:rPr>
          <w:i/>
          <w:iCs/>
          <w:color w:val="595959"/>
          <w:sz w:val="18"/>
          <w:szCs w:val="18"/>
        </w:rPr>
        <w:t xml:space="preserve">华兴源创（688001）2026年中报简析：营收净利润同比双双增长，公司应收账款体量较大_股票频道_证券之星 — https://stock.stockstar.com/RB2026083000002282.shtml?utm_source=openai</w:t>
      </w:r>
    </w:p>
    <w:p>
      <w:pPr>
        <w:spacing w:after="200"/>
      </w:pPr>
      <w:r>
        <w:rPr>
          <w:i/>
          <w:iCs/>
          <w:color w:val="595959"/>
          <w:sz w:val="18"/>
          <w:szCs w:val="18"/>
        </w:rPr>
        <w:t xml:space="preserve">华兴源创(688001)_公司公告_华兴源创：2025年度业绩快报公告新浪财经_新浪网 — https://money.finance.sina.com.cn/corp/view/vCB_AllBulletinDetail.php?id=11973827&amp;stockid=688001&amp;utm_source=openai</w:t>
      </w:r>
    </w:p>
    <w:p>
      <w:pPr>
        <w:spacing w:after="200"/>
      </w:pPr>
      <w:r>
        <w:rPr>
          <w:i/>
          <w:iCs/>
          <w:color w:val="595959"/>
          <w:sz w:val="18"/>
          <w:szCs w:val="18"/>
        </w:rPr>
        <w:t xml:space="preserve">华兴源创（688001）：公司事件点评报告：检测主业盈利修复，切入光电测试业务打造第二增长曲线 - 研报雷达 — https://zc-baogao.com/report.html?id=43189</w:t>
      </w:r>
    </w:p>
    <w:p>
      <w:pPr>
        <w:spacing w:after="200"/>
      </w:pPr>
      <w:r>
        <w:rPr>
          <w:i/>
          <w:iCs/>
          <w:color w:val="595959"/>
          <w:sz w:val="18"/>
          <w:szCs w:val="18"/>
        </w:rPr>
        <w:t xml:space="preserve">华兴源创(688001)个股分析_牛叉诊股_同花顺财经 — https://doctor.10jqka.com.cn/688001/?utm_source=openai</w:t>
      </w:r>
    </w:p>
    <w:p>
      <w:pPr>
        <w:spacing w:after="200"/>
      </w:pPr>
      <w:r>
        <w:rPr>
          <w:i/>
          <w:iCs/>
          <w:color w:val="595959"/>
          <w:sz w:val="18"/>
          <w:szCs w:val="18"/>
        </w:rPr>
        <w:t xml:space="preserve">研报指标速递-研报-股票频道-证券之星 — https://stock.stockstar.com/report/data_all_isspsputryrxqqqypvrpr.html</w:t>
      </w:r>
    </w:p>
    <w:p>
      <w:pPr>
        <w:spacing w:after="200"/>
      </w:pPr>
      <w:r>
        <w:rPr>
          <w:i/>
          <w:iCs/>
          <w:color w:val="595959"/>
          <w:sz w:val="18"/>
          <w:szCs w:val="18"/>
        </w:rPr>
        <w:t xml:space="preserve">华兴源创的前世今生：2025年营收22.4亿行业排名第7，净利润8008.44万行业排26|华兴源创_新浪财经_新浪网 — https://finance.sina.com.cn/stock/aiassist/agqsjs/2026-04-29/doc-inhwenca6687986.shtml?utm_source=openai</w:t>
      </w:r>
    </w:p>
    <w:p>
      <w:pPr>
        <w:spacing w:after="200"/>
      </w:pPr>
      <w:r>
        <w:rPr>
          <w:i/>
          <w:iCs/>
          <w:color w:val="595959"/>
          <w:sz w:val="18"/>
          <w:szCs w:val="18"/>
        </w:rPr>
        <w:t xml:space="preserve">苏州华兴源创科技(688001)股票最新价格行情,实时走势图,股价分析预测_英为财情Investing.com — https://cn.investing.com/equities/suzhou-hyc-technology-co-ltd?utm_source=openai</w:t>
      </w:r>
    </w:p>
    <w:p>
      <w:pPr>
        <w:spacing w:after="200"/>
      </w:pPr>
      <w:r>
        <w:rPr>
          <w:i/>
          <w:iCs/>
          <w:color w:val="595959"/>
          <w:sz w:val="18"/>
          <w:szCs w:val="18"/>
        </w:rPr>
        <w:t xml:space="preserve">华兴源创(688001)_历史上榜数据 — https://quote.cfi.cn/cfi_lhb_stock.aspx?stockcode=688001&amp;utm_source=openai</w:t>
      </w:r>
    </w:p>
    <w:p>
      <w:pPr>
        <w:spacing w:after="200"/>
      </w:pPr>
      <w:r>
        <w:rPr>
          <w:i/>
          <w:iCs/>
          <w:color w:val="595959"/>
          <w:sz w:val="18"/>
          <w:szCs w:val="18"/>
        </w:rPr>
        <w:t xml:space="preserve">华兴源创(688001)市盈率|估值|基本面 - 理杏仁 — https://www.lixinger.com/equity/company/detail/sh/688001/688001/fundamental/valuation/pe-ttm</w:t>
      </w:r>
    </w:p>
    <w:p>
      <w:pPr>
        <w:spacing w:after="200"/>
      </w:pPr>
      <w:r>
        <w:rPr>
          <w:i/>
          <w:iCs/>
          <w:color w:val="595959"/>
          <w:sz w:val="18"/>
          <w:szCs w:val="18"/>
        </w:rPr>
        <w:t xml:space="preserve">华兴源创(688001)市净率|估值|基本面 - 理杏仁 — https://www.lixinger.com/equity/company/detail/sh/688001/688001/fundamental/valuation/pb</w:t>
      </w:r>
    </w:p>
    <w:p>
      <w:pPr>
        <w:spacing w:after="200"/>
      </w:pPr>
      <w:r>
        <w:rPr>
          <w:i/>
          <w:iCs/>
          <w:color w:val="595959"/>
          <w:sz w:val="18"/>
          <w:szCs w:val="18"/>
        </w:rPr>
        <w:t xml:space="preserve">华兴源创(688001)_公司公告_华兴源创：股票交易异常波动的公告新浪财经_新浪网 — https://money.finance.sina.com.cn/corp/view/vCB_AllBulletinDetail.php?id=12592318&amp;stockid=688001</w:t>
      </w:r>
    </w:p>
    <w:p>
      <w:pPr>
        <w:spacing w:after="200"/>
      </w:pPr>
      <w:r>
        <w:rPr>
          <w:i/>
          <w:iCs/>
          <w:color w:val="595959"/>
          <w:sz w:val="18"/>
          <w:szCs w:val="18"/>
        </w:rPr>
        <w:t xml:space="preserve">华兴源创(688001)_公司公告_华兴源创：2026年半年度权益分派实施公告新浪财经_新浪网 — https://money.finance.sina.com.cn/corp/view/vCB_AllBulletinDetail.php?id=12597675&amp;stockid=688001</w:t>
      </w:r>
    </w:p>
    <w:p>
      <w:pPr>
        <w:spacing w:after="200"/>
      </w:pPr>
      <w:r>
        <w:rPr>
          <w:i/>
          <w:iCs/>
          <w:color w:val="595959"/>
          <w:sz w:val="18"/>
          <w:szCs w:val="18"/>
        </w:rPr>
        <w:t xml:space="preserve">https://static.cninfo.com.cn/finalpage/2026-07-22/1225434650.PDF — https://static.cninfo.com.cn/finalpage/2026-07-22/1225434650.PDF</w:t>
      </w:r>
    </w:p>
    <w:p>
      <w:pPr>
        <w:spacing w:after="200"/>
      </w:pPr>
      <w:r>
        <w:rPr>
          <w:i/>
          <w:iCs/>
          <w:color w:val="595959"/>
          <w:sz w:val="18"/>
          <w:szCs w:val="18"/>
        </w:rPr>
        <w:t xml:space="preserve">华兴源创(688001)_公司公告_华兴源创：2026年半年度报告摘要新浪财经_新浪网 — https://money.finance.sina.com.cn/corp/view/vCB_AllBulletinDetail.php?id=12566810&amp;stockid=688001&amp;utm_source=openai</w:t>
      </w:r>
    </w:p>
    <w:p>
      <w:pPr>
        <w:spacing w:after="200"/>
      </w:pPr>
      <w:r>
        <w:rPr>
          <w:i/>
          <w:iCs/>
          <w:color w:val="595959"/>
          <w:sz w:val="18"/>
          <w:szCs w:val="18"/>
        </w:rPr>
        <w:t xml:space="preserve">华兴源创(688001)公告(全部) - 理杏仁 — https://www.lixinger.com/equity/company/detail/sh/688001/688001/announcement?type=all</w:t>
      </w:r>
    </w:p>
    <w:p>
      <w:pPr>
        <w:spacing w:after="200"/>
      </w:pPr>
      <w:r>
        <w:rPr>
          <w:i/>
          <w:iCs/>
          <w:color w:val="595959"/>
          <w:sz w:val="18"/>
          <w:szCs w:val="18"/>
        </w:rPr>
        <w:t xml:space="preserve">证券代码：688001　　证券简称：华兴源创　　公告编号：2026-045 — https://static.cninfo.com.cn/finalpage/2026-07-23/1225437369.PDF?utm_source=openai</w:t>
      </w:r>
    </w:p>
    <w:p>
      <w:pPr>
        <w:spacing w:after="200"/>
      </w:pPr>
      <w:r>
        <w:rPr>
          <w:i/>
          <w:iCs/>
          <w:color w:val="595959"/>
          <w:sz w:val="18"/>
          <w:szCs w:val="18"/>
        </w:rPr>
        <w:t xml:space="preserve">华兴源创(688001)_公司公告_华兴源创：股票交易异常波动的公告新浪财经_新浪网 — https://money.finance.sina.com.cn/corp/view/vCB_AllBulletinDetail.php?id=12592318&amp;stockid=688001&amp;utm_source=openai</w:t>
      </w:r>
    </w:p>
    <w:p>
      <w:pPr>
        <w:spacing w:after="200"/>
      </w:pPr>
      <w:r>
        <w:rPr>
          <w:i/>
          <w:iCs/>
          <w:color w:val="595959"/>
          <w:sz w:val="18"/>
          <w:szCs w:val="18"/>
        </w:rPr>
        <w:t xml:space="preserve">华兴源创 (688001) - 历史交易数据 | 打板客网 — https://dabanke.com/hangqing-688001.html</w:t>
      </w:r>
    </w:p>
    <w:p>
      <w:pPr>
        <w:spacing w:after="200"/>
      </w:pPr>
      <w:r>
        <w:rPr>
          <w:i/>
          <w:iCs/>
          <w:color w:val="595959"/>
          <w:sz w:val="18"/>
          <w:szCs w:val="18"/>
        </w:rPr>
        <w:t xml:space="preserve">苏州华兴源创科技(688001)股票行情走势技术分析_未来预测_买卖操作建议_英为财情Investing.com — https://cn.investing.com/equities/suzhou-hyc-technology-co-ltd-technical</w:t>
      </w:r>
    </w:p>
    <w:p>
      <w:pPr>
        <w:spacing w:after="200"/>
      </w:pPr>
      <w:r>
        <w:rPr>
          <w:i/>
          <w:iCs/>
          <w:color w:val="595959"/>
          <w:sz w:val="18"/>
          <w:szCs w:val="18"/>
        </w:rPr>
        <w:t xml:space="preserve">华兴源创(688001)个股资讯_新浪财经_新浪网 — https://vip.stock.finance.sina.com.cn/corp/go.php/vCB_AllNewsStock/symbol/sh688001.phtml</w:t>
      </w:r>
    </w:p>
    <w:p>
      <w:pPr>
        <w:spacing w:after="200"/>
      </w:pPr>
      <w:r>
        <w:rPr>
          <w:i/>
          <w:iCs/>
          <w:color w:val="595959"/>
          <w:sz w:val="18"/>
          <w:szCs w:val="18"/>
        </w:rPr>
        <w:t xml:space="preserve">华兴源创(688001) 最新动态_F10_同花顺金融服务网 — https://basic.10jqka.com.cn/688001/?utm_source=openai</w:t>
      </w:r>
    </w:p>
    <w:p>
      <w:pPr>
        <w:spacing w:after="200"/>
      </w:pPr>
      <w:r>
        <w:rPr>
          <w:i/>
          <w:iCs/>
          <w:color w:val="595959"/>
          <w:sz w:val="18"/>
          <w:szCs w:val="18"/>
        </w:rPr>
        <w:t xml:space="preserve">本报告由AI基于公开渠道信息自动检索、整理并生成，信息截至 数据基准日：2026年9月11日收盘；下一交易日为2026年9月14日。行情数据主要依据研究纪要中所述的Investing、经济通及新浪财经等页面交叉核对。，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2026-09-13T11:44:23.124Z</dcterms:created>
  <dcterms:modified xsi:type="dcterms:W3CDTF">2026-09-13T11:44:23.124Z</dcterms:modified>
</cp:coreProperties>
</file>

<file path=docProps/custom.xml><?xml version="1.0" encoding="utf-8"?>
<Properties xmlns="http://schemas.openxmlformats.org/officeDocument/2006/custom-properties" xmlns:vt="http://schemas.openxmlformats.org/officeDocument/2006/docPropsVTypes"/>
</file>