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交控科技股份有限公司 (688015)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行业：轨道交通信号系统</w:t>
      </w:r>
    </w:p>
    <w:p>
      <w:pPr>
        <w:jc w:val="center"/>
      </w:pPr>
      <w:r>
        <w:rPr>
          <w:color w:val="595959"/>
          <w:sz w:val="22"/>
          <w:szCs w:val="22"/>
        </w:rPr>
        <w:t xml:space="preserve">报告日期：2026年9月13日</w:t>
      </w:r>
    </w:p>
    <w:p>
      <w:pPr>
        <w:jc w:val="center"/>
      </w:pPr>
      <w:r>
        <w:rPr>
          <w:color w:val="595959"/>
          <w:sz w:val="20"/>
          <w:szCs w:val="20"/>
        </w:rPr>
        <w:t xml:space="preserve">截至2026年9月11日（周五）收盘；2026年9月11日为最近一个交易日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交控科技2026年上半年实现营业收入9.56亿元，同比增长0.37%，归母净利润5,407.31万元，同比增长6.16%，收入基本持平而利润温和增长；但同期经营活动现金流量净额为-1.56亿元，仍处于净流出状态。公司当前股价为16.18元，对应静态PE约19倍、PB约1.15—1.18倍，估值处于相对偏低区间，但后续估值修复仍取决于订单交付、毛利率和应收账款回款改善。</w:t>
      </w:r>
    </w:p>
    <w:p>
      <w:pPr>
        <w:spacing w:after="160" w:line="300"/>
      </w:pPr>
      <w:r>
        <w:rPr>
          <w:sz w:val="22"/>
          <w:szCs w:val="22"/>
        </w:rPr>
        <w:t xml:space="preserve">公司核心竞争力来自自主知识产权CBTC技术、FAO、I-CBTC和PB-TACS等产品，以及系统集成、工程交付、既有线路改造和维保能力。2025年信号系统总承包收入20.11亿元，占主营业务收入约79.58%，毛利率36.30%；城轨改造收入同比增长780.06%，维保维护收入同比增长18.26%，显示业务增长正由新线建设向既有线路改造和全生命周期服务延伸，但低空业务收入规模仍较小。</w:t>
      </w:r>
    </w:p>
    <w:p>
      <w:pPr>
        <w:spacing w:after="160" w:line="300"/>
      </w:pPr>
      <w:r>
        <w:rPr>
          <w:sz w:val="22"/>
          <w:szCs w:val="22"/>
        </w:rPr>
        <w:t xml:space="preserve">2025年公司收入25.30亿元，同比增长15.76%，归母净利润1.56亿元，同比增长87.18%，主要受较高毛利率项目集中交付、维保维护、低空业务及零星销售增长等因素影响。2026年上半年毛利率约38.79%，研发投入占收入12.19%，但利润增速较2025年明显放缓，且业绩增长主要集中于二季度，持续性仍需观察。</w:t>
      </w:r>
    </w:p>
    <w:p>
      <w:pPr>
        <w:spacing w:after="160" w:line="300"/>
      </w:pPr>
      <w:r>
        <w:rPr>
          <w:sz w:val="22"/>
          <w:szCs w:val="22"/>
        </w:rPr>
        <w:t xml:space="preserve">技术面上，股价自8月19日15.41元反弹至9月8日16.98元后连续回撤，9月11日收于16.18元，低于MA5、MA10并略低于MA20及布林中轨；RSI6约29，存在技术性反弹条件，但最新完整MACD数据缺失、成交额连续缩量，短期仍处于反弹后的弱势整理阶段。</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688015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股票简称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交控科技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核心技术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以自主知识产权CBTC技术为核心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主要业务</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城市轨道交通信号系统研发、关键设备研制、系统集成和总承包、维保维护及相关技术服务</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项目覆盖</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截至2025年12月底，承担的信号系统项目覆盖32个城市、72条线路，累计建设里程2,912公里</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2025年研发与技术储备</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截至2025年12月31日拥有有效专利1,340件，其中发明专利1,143件；拥有国家级平台6个、省部级平台8个和博士后科研工作站1个</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产能特征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公司未披露类似传统制造企业的明确年产能指标，核心产能主要体现为研发、软件算法、安全控制、系统集成、工程交付、既有线路改造和维保能力</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信号系统总承包业务：2025年收入20.11亿元，占主营业务收入约79.58%，毛利率36.30%；</w:t>
      </w:r>
    </w:p>
    <w:p>
      <w:pPr>
        <w:pStyle w:val="ListParagraph"/>
        <w:numPr>
          <w:ilvl w:val="0"/>
          <w:numId w:val="2"/>
        </w:numPr>
        <w:spacing w:after="80" w:line="280"/>
      </w:pPr>
      <w:r>
        <w:rPr>
          <w:sz w:val="22"/>
          <w:szCs w:val="22"/>
        </w:rPr>
        <w:t xml:space="preserve">零星销售：2025年收入2.78亿元，毛利率31.49%；</w:t>
      </w:r>
    </w:p>
    <w:p>
      <w:pPr>
        <w:pStyle w:val="ListParagraph"/>
        <w:numPr>
          <w:ilvl w:val="0"/>
          <w:numId w:val="2"/>
        </w:numPr>
        <w:spacing w:after="80" w:line="280"/>
      </w:pPr>
      <w:r>
        <w:rPr>
          <w:sz w:val="22"/>
          <w:szCs w:val="22"/>
        </w:rPr>
        <w:t xml:space="preserve">维保维护服务：2025年收入2.25亿元，毛利率33.58%；</w:t>
      </w:r>
    </w:p>
    <w:p>
      <w:pPr>
        <w:pStyle w:val="ListParagraph"/>
        <w:numPr>
          <w:ilvl w:val="0"/>
          <w:numId w:val="2"/>
        </w:numPr>
        <w:spacing w:after="80" w:line="280"/>
      </w:pPr>
      <w:r>
        <w:rPr>
          <w:sz w:val="22"/>
          <w:szCs w:val="22"/>
        </w:rPr>
        <w:t xml:space="preserve">低空业务：2025年收入1,248.90万元，毛利率53.06%，收入规模仍较小；</w:t>
      </w:r>
    </w:p>
    <w:p>
      <w:pPr>
        <w:pStyle w:val="ListParagraph"/>
        <w:numPr>
          <w:ilvl w:val="0"/>
          <w:numId w:val="2"/>
        </w:numPr>
        <w:spacing w:after="80" w:line="280"/>
      </w:pPr>
      <w:r>
        <w:rPr>
          <w:sz w:val="22"/>
          <w:szCs w:val="22"/>
        </w:rPr>
        <w:t xml:space="preserve">核心产品包括基础CBTC系统、I-CBTC系统、FAO系统和PB-TACS系统，并向城轨云、智能运维、轨道交通智能感知等方向延伸；</w:t>
      </w:r>
    </w:p>
    <w:p>
      <w:pPr>
        <w:pStyle w:val="ListParagraph"/>
        <w:numPr>
          <w:ilvl w:val="0"/>
          <w:numId w:val="2"/>
        </w:numPr>
        <w:spacing w:after="80" w:line="280"/>
      </w:pPr>
      <w:r>
        <w:rPr>
          <w:sz w:val="22"/>
          <w:szCs w:val="22"/>
        </w:rPr>
        <w:t xml:space="preserve">2025年FAO系统收入9.16亿元，是现阶段信号系统总包业务中收入规模最大的产品；I-CBTC系统收入3.65亿元，毛利率41.58%；基础CBTC系统收入7,725.60万元，PB-TACS系统收入9,486.87万元；</w:t>
      </w:r>
    </w:p>
    <w:p>
      <w:pPr>
        <w:pStyle w:val="ListParagraph"/>
        <w:numPr>
          <w:ilvl w:val="0"/>
          <w:numId w:val="2"/>
        </w:numPr>
        <w:spacing w:after="80" w:line="280"/>
      </w:pPr>
      <w:r>
        <w:rPr>
          <w:sz w:val="22"/>
          <w:szCs w:val="22"/>
        </w:rPr>
        <w:t xml:space="preserve">2025年城轨改造业务收入5.49亿元，同比增长780.06%；维保维护收入同比增长18.26%，低空业务收入同比增长1,351.52%。</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交控科技位于轨道交通产业链中游偏高附加值的信号系统研发、系统集成和全生命周期服务环节。公司不是上游资源型企业，也不是单纯的低端设备制造商，业务价值主要来自自主核心技术、系统集成与工程交付能力、项目经验、产品结构及维保服务能力。</w:t>
      </w:r>
    </w:p>
    <w:p>
      <w:pPr>
        <w:pStyle w:val="ListParagraph"/>
        <w:numPr>
          <w:ilvl w:val="0"/>
          <w:numId w:val="2"/>
        </w:numPr>
        <w:spacing w:after="80" w:line="280"/>
      </w:pPr>
      <w:r>
        <w:rPr>
          <w:sz w:val="22"/>
          <w:szCs w:val="22"/>
        </w:rPr>
        <w:t xml:space="preserve">公司上游主要包括电子元器件、集成电路、板卡、通信设备、信号机柜、车载设备、轨旁设备、计算机联锁、列车自动监控、自动防护等信号子系统，以及电气配线、工程安装、施工调试服务、外购软件硬件和系统集成服务。</w:t>
      </w:r>
    </w:p>
    <w:p>
      <w:pPr>
        <w:pStyle w:val="ListParagraph"/>
        <w:numPr>
          <w:ilvl w:val="0"/>
          <w:numId w:val="2"/>
        </w:numPr>
        <w:spacing w:after="80" w:line="280"/>
      </w:pPr>
      <w:r>
        <w:rPr>
          <w:sz w:val="22"/>
          <w:szCs w:val="22"/>
        </w:rPr>
        <w:t xml:space="preserve">公司自主研制部分核心设备，同时从分包商采购部分子系统，再进行整体集成和定制化开发。2025年末账龄较长的重要应付账款供应商包括北京交大微联、深圳科安达、中国铁路通信信号上海工程局、北京交大思诺、天津凯发电气、北京华铁信息、卡斯柯等。</w:t>
      </w:r>
    </w:p>
    <w:p>
      <w:pPr>
        <w:pStyle w:val="ListParagraph"/>
        <w:numPr>
          <w:ilvl w:val="0"/>
          <w:numId w:val="2"/>
        </w:numPr>
        <w:spacing w:after="80" w:line="280"/>
      </w:pPr>
      <w:r>
        <w:rPr>
          <w:sz w:val="22"/>
          <w:szCs w:val="22"/>
        </w:rPr>
        <w:t xml:space="preserve">公司披露建立了供应商准入、比价、合作和绩效考评机制，一般采购环节具有一定竞争性；但安全等级高、具有行业认证和项目配套要求的核心子系统替代难度相对更高。</w:t>
      </w:r>
    </w:p>
    <w:p>
      <w:pPr>
        <w:pStyle w:val="ListParagraph"/>
        <w:numPr>
          <w:ilvl w:val="0"/>
          <w:numId w:val="2"/>
        </w:numPr>
        <w:spacing w:after="80" w:line="280"/>
      </w:pPr>
      <w:r>
        <w:rPr>
          <w:sz w:val="22"/>
          <w:szCs w:val="22"/>
        </w:rPr>
        <w:t xml:space="preserve">公司对普通电子元器件的议价能力可能一般，难以完全转嫁上游成本；对部分专业信号子系统供应商也并非完全强势。自主研发核心子系统和多供应商采购有助于降低对单一供应商的依赖。</w:t>
      </w:r>
    </w:p>
    <w:p>
      <w:pPr>
        <w:pStyle w:val="ListParagraph"/>
        <w:numPr>
          <w:ilvl w:val="0"/>
          <w:numId w:val="2"/>
        </w:numPr>
        <w:spacing w:after="80" w:line="280"/>
      </w:pPr>
      <w:r>
        <w:rPr>
          <w:sz w:val="22"/>
          <w:szCs w:val="22"/>
        </w:rPr>
        <w:t xml:space="preserve">研究纪要未披露供应商集中度的具体比例，无法据此量化判断上游采购集中风险。</w:t>
      </w:r>
    </w:p>
    <w:p>
      <w:pPr>
        <w:pStyle w:val="ListParagraph"/>
        <w:numPr>
          <w:ilvl w:val="0"/>
          <w:numId w:val="2"/>
        </w:numPr>
        <w:spacing w:after="80" w:line="280"/>
      </w:pPr>
      <w:r>
        <w:rPr>
          <w:sz w:val="22"/>
          <w:szCs w:val="22"/>
        </w:rPr>
        <w:t xml:space="preserve">下游主要为城市轨道交通建设单位、地铁公司、铁路运营单位及地方政府投资设立的轨道交通项目公司，客户通常具有国有背景。</w:t>
      </w:r>
    </w:p>
    <w:p>
      <w:pPr>
        <w:pStyle w:val="ListParagraph"/>
        <w:numPr>
          <w:ilvl w:val="0"/>
          <w:numId w:val="2"/>
        </w:numPr>
        <w:spacing w:after="80" w:line="280"/>
      </w:pPr>
      <w:r>
        <w:rPr>
          <w:sz w:val="22"/>
          <w:szCs w:val="22"/>
        </w:rPr>
        <w:t xml:space="preserve">项目通常通过公开招投标承接，单个项目金额较大、建设周期较长，对安全等级、工程交付、持续维保和项目经验要求较高。</w:t>
      </w:r>
    </w:p>
    <w:p>
      <w:pPr>
        <w:pStyle w:val="ListParagraph"/>
        <w:numPr>
          <w:ilvl w:val="0"/>
          <w:numId w:val="2"/>
        </w:numPr>
        <w:spacing w:after="80" w:line="280"/>
      </w:pPr>
      <w:r>
        <w:rPr>
          <w:sz w:val="22"/>
          <w:szCs w:val="22"/>
        </w:rPr>
        <w:t xml:space="preserve">下游客户数量相对有限且通常具备较强的招标议价能力，项目毛利率受合同技术标准、个性化需求、项目实施进度和市场竞争影响较大。</w:t>
      </w:r>
    </w:p>
    <w:p>
      <w:pPr>
        <w:pStyle w:val="ListParagraph"/>
        <w:numPr>
          <w:ilvl w:val="0"/>
          <w:numId w:val="2"/>
        </w:numPr>
        <w:spacing w:after="80" w:line="280"/>
      </w:pPr>
      <w:r>
        <w:rPr>
          <w:sz w:val="22"/>
          <w:szCs w:val="22"/>
        </w:rPr>
        <w:t xml:space="preserve">2025年公司在城轨信号系统市场中中标4个项目，按中标线路数量排名第三、按中标金额排名第二；该统计将中国通号旗下卡斯柯和通号城轨的市场份额合并计算。</w:t>
      </w:r>
    </w:p>
    <w:p>
      <w:pPr>
        <w:pStyle w:val="ListParagraph"/>
        <w:numPr>
          <w:ilvl w:val="0"/>
          <w:numId w:val="2"/>
        </w:numPr>
        <w:spacing w:after="80" w:line="280"/>
      </w:pPr>
      <w:r>
        <w:rPr>
          <w:sz w:val="22"/>
          <w:szCs w:val="22"/>
        </w:rPr>
        <w:t xml:space="preserve">公司面对的主要竞争包括中国通号体系、浙江众合科技、中车时代电气、上海电气泰雷兹交通自动化系统，以及华铁技术、恩瑞特、富欣智控、和利时、交大微联等企业。</w:t>
      </w:r>
    </w:p>
    <w:p>
      <w:pPr>
        <w:pStyle w:val="ListParagraph"/>
        <w:numPr>
          <w:ilvl w:val="0"/>
          <w:numId w:val="2"/>
        </w:numPr>
        <w:spacing w:after="80" w:line="280"/>
      </w:pPr>
      <w:r>
        <w:rPr>
          <w:sz w:val="22"/>
          <w:szCs w:val="22"/>
        </w:rPr>
        <w:t xml:space="preserve">截至2025年12月31日，公司应收账款19.50亿元，相当于全年营业收入25.30亿元的约77.08%，约为当年归母净利润的12.47倍；应付账款18.11亿元，合同负债10.08亿元，预付款项5,222.21万元。2025年经营活动现金流量净额为2,217.08万元，同比下降95%。上述数据表明公司存在明显工程项目营运资金占用：下游通常按项目进度和验收节点付款，公司需先向供应商及分包商支付部分款项；合同负债则对现金流形成一定支持。</w:t>
      </w:r>
    </w:p>
    <w:p>
      <w:pPr>
        <w:pStyle w:val="ListParagraph"/>
        <w:numPr>
          <w:ilvl w:val="0"/>
          <w:numId w:val="2"/>
        </w:numPr>
        <w:spacing w:after="80" w:line="280"/>
      </w:pPr>
      <w:r>
        <w:rPr>
          <w:sz w:val="22"/>
          <w:szCs w:val="22"/>
        </w:rPr>
        <w:t xml:space="preserve">公司2025年年度报告未披露前五大客户销售额及其占主营业务收入比例，因此无法准确判断客户集中度；该项数据缺失，不能使用未交叉核实的网络数据替代，具体应以公司最新年度报告披露为准。供应商集中度的具体比例同样未在研究纪要中披露。</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34.10%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约4.46%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主营业务收入约19.85亿元，归母净利润约8,898.79万元。信号系统总包业务收入下降，部分低毛利率项目处于集中交货阶段；零星销售收入和毛利率也明显下降，总包业务毛利率为34.65%，零星销售毛利率为29.05%。</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31.88%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约3.82%</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营业务收入约21.81亿元，归母净利润约8,357.22万元。部分低毛利率项目进入集中供货阶段，总包业务毛利率降至31.27%，维保维护业务毛利率降至29.38%；项目个性化需求、合同技术标准、市场竞价和交付节奏造成毛利率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35.61%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约6.18%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主营业务收入约25.27亿元，归母净利润约1.56亿元。部分高毛利率项目处于交货集中期，总包业务毛利率回升至36.30%；城轨改造、维保和低空业务增长改善了收入结构。但毛利率上升较大程度受项目交付时点和收入确认结构影响，不能简单视为长期议价能力同步提升。</w:t>
            </w:r>
          </w:p>
        </w:tc>
      </w:tr>
    </w:tbl>
    <w:p>
      <w:pPr>
        <w:spacing w:before="200"/>
      </w:pPr>
    </w:p>
    <w:p>
      <w:pPr>
        <w:spacing w:after="160" w:line="300"/>
      </w:pPr>
      <w:r>
        <w:rPr>
          <w:sz w:val="22"/>
          <w:szCs w:val="22"/>
        </w:rPr>
        <w:t xml:space="preserve">公司处于轨道交通产业链中游偏高附加值环节，介于专业技术研发与工程系统集成之间，整体并非上游资源型或下游品牌型高毛利位置。进一步提升利润率主要依赖自主核心子系统和软件收入占比提升、FAO/I-CBTC/PB-TACS等高技术产品工程化、既有线路改造与维保业务增长、标准化产品复用和规模化交付，以及应收账款回款改善；利润仍会受到项目竞价、个性化需求、交付节奏和下游回款的影响。</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2026年上半年（1—6月）</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9.5569亿元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同比上升0.37%</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归母净利润5,407.31万元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同比上升6.16%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约5.7904亿元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同比上升约5.44%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归母净利润约3,774.64万元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同比上升约13.57%</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2026年第一季度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3.7665亿元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同比下降6.55%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归母净利润1,632.67万元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同比下降7.77%</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2025年全年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25.3024亿元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同比增长15.76%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归母净利润1.5643亿元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同比增长87.18%</w:t>
            </w:r>
          </w:p>
        </w:tc>
      </w:tr>
    </w:tbl>
    <w:p>
      <w:pPr>
        <w:spacing w:after="200"/>
      </w:pPr>
      <w:r>
        <w:rPr>
          <w:i/>
          <w:iCs/>
          <w:color w:val="595959"/>
          <w:sz w:val="18"/>
          <w:szCs w:val="18"/>
        </w:rPr>
        <w:t xml:space="preserve">最新已披露定期报告为2026年半年度报告，公告日期为2026年8月29日，报告未经审计。2026年第二季度数据根据半年报数据倒算。2026年上半年扣非归母净利润为4,009.91万元，同比增长2.91%；2026年第一季度扣非归母净利润为1,014.29万元，同比下降8.17%；2025年全年扣非归母净利润为1.2402亿元，同比增长161.63%。</w:t>
      </w:r>
    </w:p>
    <w:p>
      <w:pPr>
        <w:spacing w:after="160" w:line="300"/>
      </w:pPr>
      <w:r>
        <w:rPr>
          <w:sz w:val="22"/>
          <w:szCs w:val="22"/>
        </w:rPr>
        <w:t xml:space="preserve">2026年上半年公司呈现收入基本稳定、利润温和增长的特征，营业收入同比增长0.37%，归母净利润同比增长6.16%。营业成本为5.8497亿元，同比下降4.79%，毛利率约38.79%；研发投入为1.1654亿元，占营业收入比例12.19%。盈利增长主要受高毛利率项目交付占比提升、控股子公司盈利贡献增加等因素影响。经营活动产生的现金流量净额为-1.56亿元，较上年同期-3.31亿元有所改善，但仍为净流出。2026年第二季度收入和利润增速均高于上半年累计数据，业绩增长主要集中在二季度。2025年利润大幅增长主要来自较高毛利率项目集中交付、维保维护、低空业务及零星销售等多元化业务增长，以及少数股东损益减少。</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公开盈利预测页面未提供可核实的2026—2027年多机构一致预测数据，近六个月内也未显示有效的买入、增持或其他评级数量。现有较明确的预测主要来自中金公司相关观点的第三方转载，未检索到可直接核验的中金公司原始研报全文，数据可信度有限。中金公司转载预测的2025年归母净利润约1.16亿元，低于公司最终披露的2025年实际归母净利润1.5643亿元，可能存在预测时点滞后或口径差异，不宜作为当前市场一致预期使用。</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缺少机构营收预测数据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约1.16亿元（中金公司相关观点转载预测）</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缺少相对上一年度的预测增速数据</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约0.61元（按总股本约1.8868亿股估算，非机构原文明确披露）</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缺少机构营收预测数据</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约1.35亿元（中金公司相关观点转载预测）</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较2025年预测增长约16%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约0.72元（按总股本约1.8868亿股估算，非机构原文明确披露）</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缺少可核实的机构预测数据</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缺少可核实的机构预测数据</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缺少可核实的机构预测数据</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缺少可核实的机构预测数据</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具体评级标签需进一步核验</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日期未明确；相关页面为公开转载信息</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维持2025年、2026年归母净利润预测分别为约1.16亿元和1.35亿元，并将目标价上调至25.00元。目标价信息相对较可信，但具体评级标签未完整展示。</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东北证券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2024年4月29日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目标价21.66元。报告发布时间较早，早于2025年业绩及2026年半年度报告，当前参考价值有限。</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Investing.com可见分析师样本</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1名买入、0名持有、0名卖出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截至2026年9月11日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市场可见目标价为25.00元，样本仅1名分析师，不属于具有统计意义的多机构一致预期。</w:t>
            </w:r>
          </w:p>
        </w:tc>
      </w:tr>
    </w:tbl>
    <w:p>
      <w:pPr>
        <w:spacing w:before="200"/>
      </w:pPr>
    </w:p>
    <w:p>
      <w:pPr>
        <w:spacing w:after="160" w:line="300"/>
      </w:pPr>
      <w:r>
        <w:rPr>
          <w:sz w:val="22"/>
          <w:szCs w:val="22"/>
        </w:rPr>
        <w:t xml:space="preserve">截至2026年9月11日收盘，股价为16.18元，52周区间约为14.38—27.62元。按总股本约1.8868亿股计算，总市值约30.5亿元；部分估值网站按9月10日收盘价16.50元计算的总市值约31.13亿元，存在交易日和数据更新时间差异。截至2026年9月10日，理杏仁数据显示PE-TTM约19.51倍、PE-TTM历史分位约11.02%、PB约1.18倍、股息率约2.55%；另一行情数据源截至2026年9月11日显示PE-TTM约19.13倍、PB约1.15倍。综合看，公司当前静态估值约为19倍PE、1.15—1.18倍PB。按中金公司转载预测的EPS估算，2025年预测EPS约0.61元，对应16.18元股价的预测PE约26.3倍；2026年预测EPS约0.72元，对应预测PE约22.6倍，但相关预测可能已明显滞后，不能简单视为当前市场有效一致预期。按2025年实际EPS 0.83元计算，当前股价对应2025年静态PE约19.5倍，与行情平台披露的PE-TTM约19倍基本一致。25.00元目标价相对16.18元收盘价的潜在涨幅约54.5%，但仅有单一或极少数机构样本支持，应谨慎使用。当前估值处于相对偏低区间，但2026年上半年收入增速较低且经营现金流仍为负，估值修复取决于后续订单交付、毛利率及现金回款改善。</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2026年半年度业绩：净利润同比增长6.16%</w:t>
      </w:r>
    </w:p>
    <w:p>
      <w:pPr>
        <w:spacing w:after="160" w:line="300"/>
      </w:pPr>
      <w:r>
        <w:rPr>
          <w:sz w:val="22"/>
          <w:szCs w:val="22"/>
        </w:rPr>
        <w:t xml:space="preserve">交控科技于2026年8月29日披露2026年半年度报告。2026年上半年实现营业收入约9.56亿元，归属于上市公司股东的净利润约5,407.31万元，同比增长6.16%；基本每股收益0.29元。半年度利润分配方案为不分配、不转增。上述数据为公司正式披露的未经审计半年度财务数据。</w:t>
      </w:r>
    </w:p>
    <w:p>
      <w:pPr>
        <w:pStyle w:val="Heading2"/>
        <w:spacing w:after="120" w:before="240"/>
      </w:pPr>
      <w:r>
        <w:rPr>
          <w:b/>
          <w:bCs/>
          <w:color w:val="2E74B5"/>
          <w:sz w:val="24"/>
          <w:szCs w:val="24"/>
        </w:rPr>
        <w:t xml:space="preserve">4.2 2026年全年业绩预告：暂未披露</w:t>
      </w:r>
    </w:p>
    <w:p>
      <w:pPr>
        <w:spacing w:after="160" w:line="300"/>
      </w:pPr>
      <w:r>
        <w:rPr>
          <w:sz w:val="22"/>
          <w:szCs w:val="22"/>
        </w:rPr>
        <w:t xml:space="preserve">截至2026年9月12日，未检索到交控科技针对2026年全年业绩发布新的业绩预告或业绩预增公告。公司于2026年1月27日披露的2025年度业绩预增公告预计2025年归属于上市公司股东的净利润约15,581.13万元，同比增长约86.44%，该事项不属于2026年度业绩预测。</w:t>
      </w:r>
    </w:p>
    <w:p>
      <w:pPr>
        <w:pStyle w:val="Heading2"/>
        <w:spacing w:after="120" w:before="240"/>
      </w:pPr>
      <w:r>
        <w:rPr>
          <w:b/>
          <w:bCs/>
          <w:color w:val="2E74B5"/>
          <w:sz w:val="24"/>
          <w:szCs w:val="24"/>
        </w:rPr>
        <w:t xml:space="preserve">4.3 募集资金使用情况：未发生项目变更及管理违规</w:t>
      </w:r>
    </w:p>
    <w:p>
      <w:pPr>
        <w:spacing w:after="160" w:line="300"/>
      </w:pPr>
      <w:r>
        <w:rPr>
          <w:sz w:val="22"/>
          <w:szCs w:val="22"/>
        </w:rPr>
        <w:t xml:space="preserve">2026年半年度报告披露，公司报告期内不存在募集资金投资项目变更，也不存在募集资金管理违规情况。公司于2026年8月28日召开第四届董事会第十次会议，审议通过相关半年度报告及募集资金专项报告。</w:t>
      </w:r>
    </w:p>
    <w:p>
      <w:pPr>
        <w:pStyle w:val="Heading2"/>
        <w:spacing w:after="120" w:before="240"/>
      </w:pPr>
      <w:r>
        <w:rPr>
          <w:b/>
          <w:bCs/>
          <w:color w:val="2E74B5"/>
          <w:sz w:val="24"/>
          <w:szCs w:val="24"/>
        </w:rPr>
        <w:t xml:space="preserve">4.4 贵阳轨道交通1号线项目仲裁：请求金额暂定为9,046.49万元</w:t>
      </w:r>
    </w:p>
    <w:p>
      <w:pPr>
        <w:spacing w:after="160" w:line="300"/>
      </w:pPr>
      <w:r>
        <w:rPr>
          <w:sz w:val="22"/>
          <w:szCs w:val="22"/>
        </w:rPr>
        <w:t xml:space="preserve">2026年7月21日，交控科技披露《关于公司提起仲裁的公告》。公司就贵阳市轨道交通1号线工程信号系统项目合同及补充合同相关付款纠纷，向贵阳仲裁委员会提起仲裁，请求贵阳市公共交通投资运营集团有限公司支付剩余合同价款、逾期付款利息及相关费用。仲裁请求暂定金额合计90,464,900.50元，包括剩余合同价款73,512,165.14元、截至2026年6月30日暂计的逾期付款利息16,739,735.36元、律师费180,000元、财产保全费5,000元及财产保全担保费28,000元。截至公告披露日，案件已经受理但尚未开庭审理，最终对公司利润的影响取决于仲裁结果及后续执行情况。</w:t>
      </w:r>
    </w:p>
    <w:p>
      <w:pPr>
        <w:pStyle w:val="Heading2"/>
        <w:spacing w:after="120" w:before="240"/>
      </w:pPr>
      <w:r>
        <w:rPr>
          <w:b/>
          <w:bCs/>
          <w:color w:val="2E74B5"/>
          <w:sz w:val="24"/>
          <w:szCs w:val="24"/>
        </w:rPr>
        <w:t xml:space="preserve">4.5 对外捐赠暨关联交易：剩余697万元捐赠期限延长至2027年底</w:t>
      </w:r>
    </w:p>
    <w:p>
      <w:pPr>
        <w:spacing w:after="160" w:line="300"/>
      </w:pPr>
      <w:r>
        <w:rPr>
          <w:sz w:val="22"/>
          <w:szCs w:val="22"/>
        </w:rPr>
        <w:t xml:space="preserve">2026年8月29日，公司披露《关于对外捐赠暨关联交易的公告》。根据公司与北京交通大学教育基金会的既有捐赠安排，公司原计划于2021年至2025年分年捐赠2,000万元。截至2025年底已累计捐赠1,303万元，剩余697万元捐赠期限经协商延长至2027年底。剩余款项将于2026年至2027年以现金或支票形式完成，用于科研项目合作、技术开发、课题攻关、人才培养、学科建设及学术交流等产学研合作事项。公司称该事项已纳入年度财务预算，不会对当期财务状况和经营成果产生重大不利影响，也不会影响经营独立性。</w:t>
      </w:r>
    </w:p>
    <w:p>
      <w:pPr>
        <w:pStyle w:val="Heading2"/>
        <w:spacing w:after="120" w:before="240"/>
      </w:pPr>
      <w:r>
        <w:rPr>
          <w:b/>
          <w:bCs/>
          <w:color w:val="2E74B5"/>
          <w:sz w:val="24"/>
          <w:szCs w:val="24"/>
        </w:rPr>
        <w:t xml:space="preserve">4.6 新增日常关联交易：金额及交易对象以正式公告为准</w:t>
      </w:r>
    </w:p>
    <w:p>
      <w:pPr>
        <w:spacing w:after="160" w:line="300"/>
      </w:pPr>
      <w:r>
        <w:rPr>
          <w:sz w:val="22"/>
          <w:szCs w:val="22"/>
        </w:rPr>
        <w:t xml:space="preserve">2026年8月29日，公司披露《关于新增日常关联交易的公告》。该事项经第四届董事会第十次会议审议通过，关联董事回避表决，独立董事专门会议发表同意意见。公司称本次新增日常关联交易属于正常生产经营需要，交易价格按照市场公允原则确定，不会对关联方形成较大依赖，也不会影响公司独立性。公告未显示该事项构成重大资产重组或控制权变化。具体交易金额及交易对象应以公司正式公告为准，研究纪要未提供可核验的具体金额。</w:t>
      </w:r>
    </w:p>
    <w:p>
      <w:pPr>
        <w:pStyle w:val="Heading2"/>
        <w:spacing w:after="120" w:before="240"/>
      </w:pPr>
      <w:r>
        <w:rPr>
          <w:b/>
          <w:bCs/>
          <w:color w:val="2E74B5"/>
          <w:sz w:val="24"/>
          <w:szCs w:val="24"/>
        </w:rPr>
        <w:t xml:space="preserve">4.7 回购及股东增减持：近期未发现相关计划或公告</w:t>
      </w:r>
    </w:p>
    <w:p>
      <w:pPr>
        <w:spacing w:after="160" w:line="300"/>
      </w:pPr>
      <w:r>
        <w:rPr>
          <w:sz w:val="22"/>
          <w:szCs w:val="22"/>
        </w:rPr>
        <w:t xml:space="preserve">截至2026年9月12日，未检索到交控科技在2026年7月至9月发布股份回购方案、回购进展公告或注销回购股份公告；未发现控股股东、持股5%以上股东或董监高披露新的集中竞价减持、增持或询价转让计划。2026年4月23日公司互动回复称，股东是否实施增持需结合自身资金安排和市场环境综合确定，最终以股东自主决策为准，该回复不构成明确的增持或回购承诺。</w:t>
      </w:r>
    </w:p>
    <w:p>
      <w:pPr>
        <w:pStyle w:val="Heading2"/>
        <w:spacing w:after="120" w:before="240"/>
      </w:pPr>
      <w:r>
        <w:rPr>
          <w:b/>
          <w:bCs/>
          <w:color w:val="2E74B5"/>
          <w:sz w:val="24"/>
          <w:szCs w:val="24"/>
        </w:rPr>
        <w:t xml:space="preserve">4.8 重大并购重组及投资：近期未发现相关公告</w:t>
      </w:r>
    </w:p>
    <w:p>
      <w:pPr>
        <w:spacing w:after="160" w:line="300"/>
      </w:pPr>
      <w:r>
        <w:rPr>
          <w:sz w:val="22"/>
          <w:szCs w:val="22"/>
        </w:rPr>
        <w:t xml:space="preserve">截至2026年9月12日，未检索到交控科技在2026年7月至9月披露重大资产重组、发行股份购买资产、控制权变更或重大股权收购公告。公司2026年4月在投资者互动平台表示，如涉及重大投资并购事项，将严格遵守信息披露规定并及时通过法定渠道披露；该回复不代表公司当前存在确定的并购项目。</w:t>
      </w:r>
    </w:p>
    <w:p>
      <w:pPr>
        <w:pStyle w:val="Heading2"/>
        <w:spacing w:after="120" w:before="240"/>
      </w:pPr>
      <w:r>
        <w:rPr>
          <w:b/>
          <w:bCs/>
          <w:color w:val="2E74B5"/>
          <w:sz w:val="24"/>
          <w:szCs w:val="24"/>
        </w:rPr>
        <w:t xml:space="preserve">4.9 低空经济联盟事项：公司称与自身无关</w:t>
      </w:r>
    </w:p>
    <w:p>
      <w:pPr>
        <w:spacing w:after="160" w:line="300"/>
      </w:pPr>
      <w:r>
        <w:rPr>
          <w:sz w:val="22"/>
          <w:szCs w:val="22"/>
        </w:rPr>
        <w:t xml:space="preserve">2026年9月9日，公司在投资者互动平台回应相关问题称，交控科技曾为中国低空经济联盟副理事长单位；根据北京市民政局公告，该联盟因未经登记、擅自以社会团体名义开展活动，已于2025年8月被依法取缔。公司表示，该事项属于相关组织自身登记合规问题，与公司无关，未对公司生产经营、财务状况及低空经济相关业务造成重大不利影响。截至2026年9月12日，未发现交控科技因该联盟事项受到监管处罚或监管措施。</w:t>
      </w:r>
    </w:p>
    <w:p>
      <w:pPr>
        <w:pStyle w:val="Heading2"/>
        <w:spacing w:after="120" w:before="240"/>
      </w:pPr>
      <w:r>
        <w:rPr>
          <w:b/>
          <w:bCs/>
          <w:color w:val="2E74B5"/>
          <w:sz w:val="24"/>
          <w:szCs w:val="24"/>
        </w:rPr>
        <w:t xml:space="preserve">4.10 投资者关系活动：2026年9月4日披露记录表</w:t>
      </w:r>
    </w:p>
    <w:p>
      <w:pPr>
        <w:spacing w:after="160" w:line="300"/>
      </w:pPr>
      <w:r>
        <w:rPr>
          <w:sz w:val="22"/>
          <w:szCs w:val="22"/>
        </w:rPr>
        <w:t xml:space="preserve">截至2026年9月12日，公开公告信息显示，交控科技于2026年9月4日披露了投资者关系活动记录表。研究纪要未提供该记录表的具体交流内容。</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交控科技（688015），上海证券交易所科创板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涨跌额/涨跌幅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-0.32元/-1.94%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16.57元/16.57元/15.98元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约106万股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约1715万元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约0.56%；不同平台存在口径差异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约1.8868亿股/约30.53亿元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近期走势</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8月19日回落至15.41元后反弹，9月8日收于16.98元，随后连续三个交易日回落，9月11日重新回到16元附近</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52周高低点</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52周最高价27.62元，最低价14.38元；具体发生日期未得到一致披露</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估值参考</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PE-TTM约19.5—20.4倍；PB约1.15—1.18倍。不同平台可能因盈利口径和数据更新时间存在差异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约16.61元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收盘价低于MA5约0.43元，短线回撤已压制5日均线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约16.68元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收盘价低于MA10约0.50元；若不能重新站回16.6—16.7元，短期均线可能继续向下拐头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约16.25元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收盘价略低于MA20约0.07元，16.2元附近仍是短线多空观察区域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中轨约16.25元；上轨约17.21元；下轨约15.29元；20日标准差约0.48元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股价位于布林带中部偏下，尚未出现明显极端超买或超卖；跌破15.3元附近需关注下轨方向，放量站上16.7元则关注17.2元附近</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接近短线超卖区，存在技术性反弹条件，但不代表趋势已经修复</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自行粗略测算约60；Investing于2026年9月6日快照为42.911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不同计算方法、平滑方式和历史起点可能导致结果差异；9月6日外部快照不是9月11日最新读数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2026年9月11日收盘后的完整数值缺失；Investing截至2026年9月6日快照MACD(12,26)为-0.25，信号为“卖出”</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较早数据仍偏负，但缺少9月11日最新DIF、DEA和柱状图数值，不对最新MACD作臆测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52周价格位置</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最新收盘价较52周高点低约41.4%，较52周低点高约12.5%</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股价仍明显低于52周高点，但已脱离52周低点；高低点日期及部分平台口径存在差异</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近期成交量与成交额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9月4日至9月11日成交额约1550万—2560万元；9月9日至9月11日连续缩量</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回落过程中暂未出现特别明显的恐慌性放量，但市场参与度偏低</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2026年9月11日主力资金净流入/净流出缺少最新可靠静态数据；截至9月7日融资余额约1.105亿元，融资净买入约110.3万元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融资资金小幅净买入不能替代主力资金指标，不能据此判断主力持续吸筹或出货</w:t>
            </w:r>
          </w:p>
        </w:tc>
      </w:tr>
    </w:tbl>
    <w:p>
      <w:pPr>
        <w:spacing w:before="200"/>
      </w:pPr>
    </w:p>
    <w:p>
      <w:pPr>
        <w:spacing w:after="160" w:line="300"/>
      </w:pPr>
      <w:r>
        <w:rPr>
          <w:sz w:val="22"/>
          <w:szCs w:val="22"/>
        </w:rPr>
        <w:t xml:space="preserve">交控科技股价在8月19日回落至15.41元后反弹，9月8日收盘至16.98元，随后连续三个交易日回撤，9月11日收于16.18元。当前收盘价低于MA5、MA10，并略低于MA20及布林中轨，短线结构偏弱；同时RSI6约29，显示技术性超卖反弹条件。整体呈现“反弹后回撤、重新测试成交密集区”的状态。后续重点观察15.90—16.20元支撑区以及16.60—16.70元均线修复区域，MACD最新完整数据缺失，相关判断应保留不确定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风险提示：以下内容仅为基于2026年9月11日收盘数据和公开技术指标的主观情景推演，不构成投资建议，也不构成买卖指令；情景权重为基于当前技术面和资金流动性背景的主观判断，不是统计学概率。</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16.83~17.31元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参考9月1日、9月8日前后阶段高点、近期成交密集区及布林上轨约17.21元。若有效突破17.31元且成交额明显放大，可继续观察17.48元附近；若量能不足，可能重新回到16.5元附近。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15.90~16.20元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参考当前收盘价、近期成本区约15.92~16.40元及成交密集区。若有效跌破15.90元，需关注15.3元附近布林下轨支撑。</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14.62~15.38元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参考布林下轨约15.29元及近期波段支撑区；若该区域有效跌破，技术上可能打开向52周低点14.38元附近回探的空间。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面和资金流动性背景的主观判断，不是统计学概率）：价格观察区间为15.90~16.80元。触发条件是股价在15.90元附近获得支撑，但无法放量突破16.80~17.00元，成交额继续维持约1500万~2500万元区间。现价接近MA20和布林中轨，RSI6偏低但MACD缺乏最新明确转强数据，短线可能低位反复震荡。</w:t>
      </w:r>
    </w:p>
    <w:p>
      <w:pPr>
        <w:pStyle w:val="ListParagraph"/>
        <w:numPr>
          <w:ilvl w:val="0"/>
          <w:numId w:val="2"/>
        </w:numPr>
        <w:spacing w:after="80" w:line="280"/>
      </w:pPr>
      <w:r>
        <w:rPr>
          <w:sz w:val="22"/>
          <w:szCs w:val="22"/>
        </w:rPr>
        <w:t xml:space="preserve">偏弱下行（权重中等；为基于当前技术面和资金流动性背景的主观判断，不是统计学概率）：价格观察区间为15.30~15.90元。触发条件是收盘价连续跌破15.90元且成交量放大、成交额明显高于近期水平，或科创板、轨道交通及相关成长板块同步走弱。跌破第一支撑后，布林下轨约15.29元将成为下一观察位置；若15.30元也失守，需关注14.60~15.00元区域。</w:t>
      </w:r>
    </w:p>
    <w:p>
      <w:pPr>
        <w:pStyle w:val="ListParagraph"/>
        <w:numPr>
          <w:ilvl w:val="0"/>
          <w:numId w:val="2"/>
        </w:numPr>
        <w:spacing w:after="80" w:line="280"/>
      </w:pPr>
      <w:r>
        <w:rPr>
          <w:sz w:val="22"/>
          <w:szCs w:val="22"/>
        </w:rPr>
        <w:t xml:space="preserve">反弹走强（权重偏低至中等；为基于当前技术面和资金流动性背景的主观判断，不是统计学概率）：价格观察区间为16.70~17.30元。触发条件是股价重新站上16.60~16.70元并连续放量，单日成交额达到约2500万元以上且连续至少两个交易日维持。若收复MA5、MA10，短线弱势结构可能得到修复，并观察16.98元前高和17.2元布林上轨；进一步放量突破17.3元后，再观察17.48元附近的突破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约0.56%，最近几个交易日成交额约1550万~2560万元，9月9日至9月11日成交量连续处于较低水平。前十大流通股东截至2026年6月30日持股约1.15亿股，占流通盘60.68%；机构持股合计约7499.68万股，占流通盘39.75%，其中基金持股约259.99万股，占流通盘1.33%，机构持股主要包括其他机构、产业股东、国有股东及产业投资基金。该股东数据存在季度滞后，不能确认截至2026年9月11日结构未发生变化。较高的筹码集中度叠加较低成交额，意味着关键价位附近可能存在流动性不足、买卖价差扩大和价格波动放大的情况。2026年9月11日主力资金净额未获得最新可靠静态披露；截至9月7日融资净买入约110.3万元，仅能反映融资账户边际变化，不能替代主力资金指标。</w:t>
      </w:r>
    </w:p>
    <w:p>
      <w:pPr>
        <w:spacing w:after="160" w:line="300"/>
      </w:pPr>
      <w:r>
        <w:rPr>
          <w:sz w:val="22"/>
          <w:szCs w:val="22"/>
        </w:rPr>
        <w:t xml:space="preserve">可检查的量能确认信号：若未来一周单日成交额达到约2500万元以上，并连续两个交易日维持，同时股价重新站上16.70元，可作为短线资金参与度改善的观察信号；若放量发生在跌破15.90元之后，则更应理解为抛压释放，而非资金介入。</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观察15.90~16.20元支撑区能否守住；以上为观察思路，非操作指令。</w:t>
      </w:r>
    </w:p>
    <w:p>
      <w:pPr>
        <w:pStyle w:val="ListParagraph"/>
        <w:numPr>
          <w:ilvl w:val="0"/>
          <w:numId w:val="2"/>
        </w:numPr>
        <w:spacing w:after="80" w:line="280"/>
      </w:pPr>
      <w:r>
        <w:rPr>
          <w:sz w:val="22"/>
          <w:szCs w:val="22"/>
        </w:rPr>
        <w:t xml:space="preserve">观察16.60~16.70元能否重新收复并转化为短线支撑；以上为观察思路，非操作指令。</w:t>
      </w:r>
    </w:p>
    <w:p>
      <w:pPr>
        <w:pStyle w:val="ListParagraph"/>
        <w:numPr>
          <w:ilvl w:val="0"/>
          <w:numId w:val="2"/>
        </w:numPr>
        <w:spacing w:after="80" w:line="280"/>
      </w:pPr>
      <w:r>
        <w:rPr>
          <w:sz w:val="22"/>
          <w:szCs w:val="22"/>
        </w:rPr>
        <w:t xml:space="preserve">观察16.83~17.31元压力区突破时是否伴随成交额放大；以上为观察思路，非操作指令。</w:t>
      </w:r>
    </w:p>
    <w:p>
      <w:pPr>
        <w:pStyle w:val="ListParagraph"/>
        <w:numPr>
          <w:ilvl w:val="0"/>
          <w:numId w:val="2"/>
        </w:numPr>
        <w:spacing w:after="80" w:line="280"/>
      </w:pPr>
      <w:r>
        <w:rPr>
          <w:sz w:val="22"/>
          <w:szCs w:val="22"/>
        </w:rPr>
        <w:t xml:space="preserve">观察单日成交额是否达到约2500万元以上并连续两个交易日维持，同时注意主力资金最新数据目前缺乏可靠静态披露；以上为观察思路，非操作指令。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中国城市轨道交通信号系统行业具有较高的技术、认证和工程经验壁垒，竞争者数量有限、市场集中度较高。行业竞争不仅体现为设备价格竞争，还包括CBTC、FAO、TACS等核心技术能力，SIL4安全认证和产品认证，长周期工程交付能力，地方地铁业主合作关系，既有线路升级改造能力，维保服务网络及不同制式线路之间的互联互通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截至2024年12月，中国已有58个城市开通城市轨道交通，运营总里程超过1.3万公里。</w:t>
      </w:r>
    </w:p>
    <w:p>
      <w:pPr>
        <w:pStyle w:val="ListParagraph"/>
        <w:numPr>
          <w:ilvl w:val="0"/>
          <w:numId w:val="2"/>
        </w:numPr>
        <w:spacing w:after="80" w:line="280"/>
      </w:pPr>
      <w:r>
        <w:rPr>
          <w:sz w:val="22"/>
          <w:szCs w:val="22"/>
        </w:rPr>
        <w:t xml:space="preserve">部分线路进入10年至20年以上运营周期，既有线路设备更新、信号系统改造和智能运维需求增加。</w:t>
      </w:r>
    </w:p>
    <w:p>
      <w:pPr>
        <w:pStyle w:val="ListParagraph"/>
        <w:numPr>
          <w:ilvl w:val="0"/>
          <w:numId w:val="2"/>
        </w:numPr>
        <w:spacing w:after="80" w:line="280"/>
      </w:pPr>
      <w:r>
        <w:rPr>
          <w:sz w:val="22"/>
          <w:szCs w:val="22"/>
        </w:rPr>
        <w:t xml:space="preserve">地方财政压力、城轨建设投资放缓和新线项目减少，推动行业从新线建设驱动转向新线建设、既有线改造和运营维保并重。</w:t>
      </w:r>
    </w:p>
    <w:p>
      <w:pPr>
        <w:pStyle w:val="ListParagraph"/>
        <w:numPr>
          <w:ilvl w:val="0"/>
          <w:numId w:val="2"/>
        </w:numPr>
        <w:spacing w:after="80" w:line="280"/>
      </w:pPr>
      <w:r>
        <w:rPr>
          <w:sz w:val="22"/>
          <w:szCs w:val="22"/>
        </w:rPr>
        <w:t xml:space="preserve">公司引用的2025年行业统计显示，全年共有15座城市发布35个信号系统中标项目，中标金额合计78.20亿元；交控科技中标4个项目，按中标金额排名第二。该统计采用项目中标口径，不等于存量运营线路份额，也不等于全年收入市场份额。</w:t>
      </w:r>
    </w:p>
    <w:p>
      <w:pPr>
        <w:pStyle w:val="ListParagraph"/>
        <w:numPr>
          <w:ilvl w:val="0"/>
          <w:numId w:val="2"/>
        </w:numPr>
        <w:spacing w:after="80" w:line="280"/>
      </w:pPr>
      <w:r>
        <w:rPr>
          <w:sz w:val="22"/>
          <w:szCs w:val="22"/>
        </w:rPr>
        <w:t xml:space="preserve">2025年公司披露的城轨市场排名将中国通号旗下卡斯柯和通号城轨合并计算，相关排名不宜直接等同于单一法人主体的市场份额。</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中国通号及旗下卡斯柯、通号城轨</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国内轨道交通通信信号系统综合型龙头，覆盖铁路和城市轨道交通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业务规模、客户资源、铁路项目经验及工程总承包能力强于交控科技；卡斯柯和通号城轨是交控科技在城轨信号系统招标中的直接竞争力量。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浙江众合科技</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城轨信号系统重要企业，布局CBTC、FAO、互联互通、TACS和自主安全计算平台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城轨信号业务聚焦度较高，在兼容改造和自主化平台方面具备能力，与交控科技在城轨新线、既有线改造和FAO领域存在直接竞争。</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中车时代电气</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依托中国中车体系的综合轨道交通装备企业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业务覆盖牵引系统、信号系统、车辆电气设备和功率半导体，具备产业链协同和车辆装备优势，但城轨信号系统并非其唯一核心业务。</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上海电气泰雷兹交通自动化系统</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具有国际泰雷兹技术背景的城市轨道交通信号系统企业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在CBTC、全自动运行及高端城轨信号系统领域具备技术积累，主要竞争点为高等级城轨线路、全自动运行和外资技术品牌项目。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华铁技术、恩瑞特、富欣智控、和利时、交大微联等</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城轨信号系统、铁路信号设备、计算机联锁、自动控制和轨道交通信息化等细分领域参与者</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部分企业属于区域性或细分产品市场的重要参与者；由于部分企业未完整披露2025年城轨信号业务收入和中标情况，具体排名不宜仅依据单一历史资料判断。</w:t>
            </w:r>
          </w:p>
        </w:tc>
      </w:tr>
    </w:tbl>
    <w:p>
      <w:pPr>
        <w:spacing w:before="200"/>
      </w:pPr>
    </w:p>
    <w:p>
      <w:pPr>
        <w:spacing w:after="160" w:line="300"/>
      </w:pPr>
      <w:r>
        <w:rPr>
          <w:sz w:val="22"/>
          <w:szCs w:val="22"/>
        </w:rPr>
        <w:t xml:space="preserve">交控科技以自主知识产权CBTC技术为核心，定位于城轨信号系统研发、系统集成、工程总承包及维保服务，在2025年城轨信号系统中标金额排名第二，处于行业第一梯队。相较中国通号体系，公司在规模、铁路业务和综合项目资源方面仍存在差距；相较众合科技等城轨信号专业企业，公司竞争重点集中于FAO、I-CBTC、PB-TACS、既有线路改造、系统集成和全生命周期服务。行业未来利润改善更依赖高技术产品工程化、既有线改造、维保服务、标准化交付和回款管理，而非扩大传统硬件生产规模。</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工程项目回款风险：截至2025年末应收账款19.50亿元，约为全年营业收入的77.08%；2026年上半年经营活动现金流量净额为-1.56亿元，若项目验收或付款节点延后，可能继续占用营运资金并影响现金流。</w:t>
      </w:r>
    </w:p>
    <w:p>
      <w:pPr>
        <w:pStyle w:val="ListParagraph"/>
        <w:numPr>
          <w:ilvl w:val="0"/>
          <w:numId w:val="2"/>
        </w:numPr>
        <w:spacing w:after="80" w:line="280"/>
      </w:pPr>
      <w:r>
        <w:rPr>
          <w:sz w:val="22"/>
          <w:szCs w:val="22"/>
        </w:rPr>
        <w:t xml:space="preserve">单一业务结构和毛利率波动风险：2025年信号系统总承包收入20.11亿元，占主营业务收入约79.58%；该业务毛利率受合同技术标准、个性化需求、市场竞价和交付节奏影响，2025年毛利率回升部分来自高毛利率项目集中交付，未必代表长期议价能力持续提升。</w:t>
      </w:r>
    </w:p>
    <w:p>
      <w:pPr>
        <w:pStyle w:val="ListParagraph"/>
        <w:numPr>
          <w:ilvl w:val="0"/>
          <w:numId w:val="2"/>
        </w:numPr>
        <w:spacing w:after="80" w:line="280"/>
      </w:pPr>
      <w:r>
        <w:rPr>
          <w:sz w:val="22"/>
          <w:szCs w:val="22"/>
        </w:rPr>
        <w:t xml:space="preserve">贵阳项目仲裁风险：公司就贵阳市轨道交通1号线信号系统项目提起仲裁，请求金额暂定为9,046.49万元，案件虽已受理但尚未开庭，最终仲裁结果、回款时间及执行情况存在不确定性。</w:t>
      </w:r>
    </w:p>
    <w:p>
      <w:pPr>
        <w:pStyle w:val="ListParagraph"/>
        <w:numPr>
          <w:ilvl w:val="0"/>
          <w:numId w:val="2"/>
        </w:numPr>
        <w:spacing w:after="80" w:line="280"/>
      </w:pPr>
      <w:r>
        <w:rPr>
          <w:sz w:val="22"/>
          <w:szCs w:val="22"/>
        </w:rPr>
        <w:t xml:space="preserve">行业竞争与订单风险：公司主要面对中国通号体系、浙江众合科技、中车时代电气、上海电气泰雷兹交通自动化系统等竞争者；地方财政压力、城轨新线建设放缓和项目招标竞争，可能影响新线订单规模、项目价格和收入确认节奏。</w:t>
      </w:r>
    </w:p>
    <w:p>
      <w:pPr>
        <w:pStyle w:val="ListParagraph"/>
        <w:numPr>
          <w:ilvl w:val="0"/>
          <w:numId w:val="2"/>
        </w:numPr>
        <w:spacing w:after="80" w:line="280"/>
      </w:pPr>
      <w:r>
        <w:rPr>
          <w:sz w:val="22"/>
          <w:szCs w:val="22"/>
        </w:rPr>
        <w:t xml:space="preserve">客户议价和客户集中度不明风险：下游客户主要为城市轨道交通建设单位、地铁公司、铁路运营单位及地方轨道交通项目公司，通常具备较强招标议价能力；公司2025年年报未披露前五大客户销售额及占比，无法准确量化客户集中度。</w:t>
      </w:r>
    </w:p>
    <w:p>
      <w:pPr>
        <w:pStyle w:val="ListParagraph"/>
        <w:numPr>
          <w:ilvl w:val="0"/>
          <w:numId w:val="2"/>
        </w:numPr>
        <w:spacing w:after="80" w:line="280"/>
      </w:pPr>
      <w:r>
        <w:rPr>
          <w:sz w:val="22"/>
          <w:szCs w:val="22"/>
        </w:rPr>
        <w:t xml:space="preserve">供应链与核心子系统采购风险：公司部分子系统依赖外部供应商采购，安全等级高、具有行业认证和项目配套要求的核心子系统替代难度相对较高；对普通电子元器件及部分专业信号子系统供应商的议价能力可能一般，供应商集中度具体比例也未披露。</w:t>
      </w:r>
    </w:p>
    <w:p>
      <w:pPr>
        <w:pStyle w:val="ListParagraph"/>
        <w:numPr>
          <w:ilvl w:val="0"/>
          <w:numId w:val="2"/>
        </w:numPr>
        <w:spacing w:after="80" w:line="280"/>
      </w:pPr>
      <w:r>
        <w:rPr>
          <w:sz w:val="22"/>
          <w:szCs w:val="22"/>
        </w:rPr>
        <w:t xml:space="preserve">业绩持续性风险：2025年归母净利润同比增长87.18%，受高毛利率项目集中交付、业务结构变化等因素影响；2026年上半年收入仅同比增长0.37%，扣非归母净利润同比增长2.91%，若后续高毛利项目交付减少，利润增速可能回落。</w:t>
      </w:r>
    </w:p>
    <w:p>
      <w:pPr>
        <w:pStyle w:val="ListParagraph"/>
        <w:numPr>
          <w:ilvl w:val="0"/>
          <w:numId w:val="2"/>
        </w:numPr>
        <w:spacing w:after="80" w:line="280"/>
      </w:pPr>
      <w:r>
        <w:rPr>
          <w:sz w:val="22"/>
          <w:szCs w:val="22"/>
        </w:rPr>
        <w:t xml:space="preserve">低流动性与技术波动风险：截至2026年9月11日换手率约0.56%，近期成交额约1,550万至2,560万元，且连续缩量；前十大流通股东持股约占流通盘60.68%，在筹码集中和交易活跃度偏低的情况下，关键价位可能出现买卖价差扩大及价格波动放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处于城轨信号系统中游偏高附加值环节，行业技术、认证、工程经验和客户准入壁垒较高，2025年城轨信号系统中标金额排名第二。未来增长逻辑主要包括既有线路改造需求增加、FAO/I-CBTC/PB-TACS等高技术产品工程化、维保业务扩张、标准化产品复用及低空等新业务培育。公司拥有1,340件有效专利和多个国家级、省部级研发平台，为技术持续迭代提供一定支撑。</w:t>
      </w:r>
    </w:p>
    <w:p>
      <w:pPr>
        <w:spacing w:after="160" w:line="300"/>
      </w:pPr>
      <w:r>
        <w:rPr>
          <w:sz w:val="22"/>
          <w:szCs w:val="22"/>
        </w:rPr>
        <w:t xml:space="preserve">同时，公司收入仍高度依赖信号系统总承包业务，项目个性化、招投标竞争和交付节奏会导致毛利率波动。应收账款19.50亿元，约为2025年收入的77.08%，2025年经营现金流仅2,217.08万元；2026年上半年经营现金流进一步为负，表明利润兑现为现金的能力仍是核心观察点。贵阳轨道交通1号线项目存在暂定金额9,046.49万元的仲裁请求，最终回款及执行结果尚未确定。</w:t>
      </w:r>
    </w:p>
    <w:p>
      <w:pPr>
        <w:spacing w:after="160" w:line="300"/>
      </w:pPr>
      <w:r>
        <w:rPr>
          <w:sz w:val="22"/>
          <w:szCs w:val="22"/>
        </w:rPr>
        <w:t xml:space="preserve">从技术和估值角度看，当前股价接近15.90—16.20元支撑观察区，16.60—16.70元是均线修复区域，16.83—17.31元为阶段压力区；但成交量偏低、筹码集中度较高，关键价位可能出现流动性不足和波动放大。后续基本面重点应关注订单与项目交付、毛利率稳定性、经营现金流和应收账款回款，技术面则需结合量能变化审慎判断。</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交控科技股份有限公司2025年年度报告 — https://static.cninfo.com.cn/finalpage/2026-04-28/1225210381.PDF</w:t>
      </w:r>
    </w:p>
    <w:p>
      <w:pPr>
        <w:spacing w:after="200"/>
      </w:pPr>
      <w:r>
        <w:rPr>
          <w:i/>
          <w:iCs/>
          <w:color w:val="595959"/>
          <w:sz w:val="18"/>
          <w:szCs w:val="18"/>
        </w:rPr>
        <w:t xml:space="preserve">交控科技(688015)_公司公告_交控科技：2023年年度报告新浪财经_新浪网 — https://vip.stock.finance.sina.com.cn/corp/view/vCB_AllBulletinDetail.php?id=10007566&amp;stockid=688015&amp;utm_source=openai</w:t>
      </w:r>
    </w:p>
    <w:p>
      <w:pPr>
        <w:spacing w:after="200"/>
      </w:pPr>
      <w:r>
        <w:rPr>
          <w:i/>
          <w:iCs/>
          <w:color w:val="595959"/>
          <w:sz w:val="18"/>
          <w:szCs w:val="18"/>
        </w:rPr>
        <w:t xml:space="preserve">交控科技股份有限公司2024年年度报告 — https://star.sse.com.cn/disclosure/listedinfo/announcement/c/new/2025-04-26/688015_20250426_OFK7.pdf</w:t>
      </w:r>
    </w:p>
    <w:p>
      <w:pPr>
        <w:spacing w:after="200"/>
      </w:pPr>
      <w:r>
        <w:rPr>
          <w:i/>
          <w:iCs/>
          <w:color w:val="595959"/>
          <w:sz w:val="18"/>
          <w:szCs w:val="18"/>
        </w:rPr>
        <w:t xml:space="preserve">中国通号(688009)_公司公告_中国通号：2025年年度报告新浪财经_新浪网 — https://money.finance.sina.com.cn/corp/view/vCB_AllBulletinDetail.php?id=12015996&amp;stockid=688009&amp;utm_source=openai</w:t>
      </w:r>
    </w:p>
    <w:p>
      <w:pPr>
        <w:spacing w:after="200"/>
      </w:pPr>
      <w:r>
        <w:rPr>
          <w:i/>
          <w:iCs/>
          <w:color w:val="595959"/>
          <w:sz w:val="18"/>
          <w:szCs w:val="18"/>
        </w:rPr>
        <w:t xml:space="preserve">浙江众合科技股份有限公司 2024 年年度报告全文 — https://static.cninfo.com.cn/finalpage/2025-04-24/1223240224.PDF?utm_source=openai</w:t>
      </w:r>
    </w:p>
    <w:p>
      <w:pPr>
        <w:spacing w:after="200"/>
      </w:pPr>
      <w:r>
        <w:rPr>
          <w:i/>
          <w:iCs/>
          <w:color w:val="595959"/>
          <w:sz w:val="18"/>
          <w:szCs w:val="18"/>
        </w:rPr>
        <w:t xml:space="preserve">时代电气(688187)_公司公告_时代电气：株洲中车时代股份有限公司2025年年度报告新浪财经_新浪网 — https://money.finance.sina.com.cn/corp/view/vCB_AllBulletinDetail.php?id=12028013&amp;stockid=688187&amp;utm_source=openai</w:t>
      </w:r>
    </w:p>
    <w:p>
      <w:pPr>
        <w:spacing w:after="200"/>
      </w:pPr>
      <w:r>
        <w:rPr>
          <w:i/>
          <w:iCs/>
          <w:color w:val="595959"/>
          <w:sz w:val="18"/>
          <w:szCs w:val="18"/>
        </w:rPr>
        <w:t xml:space="preserve">“带伤”过会的交控科技|五步问诊科创⑤|界面新闻 — https://www.jiemian.com/article/3225192.html?utm_source=openai</w:t>
      </w:r>
    </w:p>
    <w:p>
      <w:pPr>
        <w:spacing w:after="200"/>
      </w:pPr>
      <w:r>
        <w:rPr>
          <w:i/>
          <w:iCs/>
          <w:color w:val="595959"/>
          <w:sz w:val="18"/>
          <w:szCs w:val="18"/>
        </w:rPr>
        <w:t xml:space="preserve">交控科技(688015)_公司公告_交控科技：2026年半年度报告新浪财经_新浪网 — https://vip.stock.finance.sina.com.cn/corp/view/vCB_AllBulletinDetail.php?CompanyCode=80505645&amp;gather=1&amp;id=12568137&amp;utm_source=openai</w:t>
      </w:r>
    </w:p>
    <w:p>
      <w:pPr>
        <w:spacing w:after="200"/>
      </w:pPr>
      <w:r>
        <w:rPr>
          <w:i/>
          <w:iCs/>
          <w:color w:val="595959"/>
          <w:sz w:val="18"/>
          <w:szCs w:val="18"/>
        </w:rPr>
        <w:t xml:space="preserve">交控科技: 交控科技股份有限公司2026年半年度报告_股票频道_证券之星 — https://stock.stockstar.com/notice/SN2026082800051744.shtml?utm_source=openai</w:t>
      </w:r>
    </w:p>
    <w:p>
      <w:pPr>
        <w:spacing w:after="200"/>
      </w:pPr>
      <w:r>
        <w:rPr>
          <w:i/>
          <w:iCs/>
          <w:color w:val="595959"/>
          <w:sz w:val="18"/>
          <w:szCs w:val="18"/>
        </w:rPr>
        <w:t xml:space="preserve">交控科技（688015）2026年中报简析：营收净利润同比双双增长，盈利能力上升_股票频道_证券之星 — https://stock.stockstar.com/RB2026083000002290.shtml?utm_source=openai</w:t>
      </w:r>
    </w:p>
    <w:p>
      <w:pPr>
        <w:spacing w:after="200"/>
      </w:pPr>
      <w:r>
        <w:rPr>
          <w:i/>
          <w:iCs/>
          <w:color w:val="595959"/>
          <w:sz w:val="18"/>
          <w:szCs w:val="18"/>
        </w:rPr>
        <w:t xml:space="preserve">交控科技(688015)_公司公告_交控科技：2026年第一季度报告新浪财经_新浪网 — https://money.finance.sina.com.cn/corp/view/vCB_AllBulletinDetail.php?id=12219224&amp;stockid=688015&amp;utm_source=openai</w:t>
      </w:r>
    </w:p>
    <w:p>
      <w:pPr>
        <w:spacing w:after="200"/>
      </w:pPr>
      <w:r>
        <w:rPr>
          <w:i/>
          <w:iCs/>
          <w:color w:val="595959"/>
          <w:sz w:val="18"/>
          <w:szCs w:val="18"/>
        </w:rPr>
        <w:t xml:space="preserve">交控科技(688015)_公司公告_交控科技：2025年年度报告新浪财经_新浪网 — https://vip.stock.finance.sina.com.cn/corp/view/vCB_AllBulletinDetail.php?CompanyCode=80505645&amp;gather=1&amp;id=12219221&amp;utm_source=openai</w:t>
      </w:r>
    </w:p>
    <w:p>
      <w:pPr>
        <w:spacing w:after="200"/>
      </w:pPr>
      <w:r>
        <w:rPr>
          <w:i/>
          <w:iCs/>
          <w:color w:val="595959"/>
          <w:sz w:val="18"/>
          <w:szCs w:val="18"/>
        </w:rPr>
        <w:t xml:space="preserve">交控科技(688015) 盈利预测_F10_同花顺金融服务网 — https://basic.10jqka.com.cn/688015/worth.html?utm_source=openai</w:t>
      </w:r>
    </w:p>
    <w:p>
      <w:pPr>
        <w:spacing w:after="200"/>
      </w:pPr>
      <w:r>
        <w:rPr>
          <w:i/>
          <w:iCs/>
          <w:color w:val="595959"/>
          <w:sz w:val="18"/>
          <w:szCs w:val="18"/>
        </w:rPr>
        <w:t xml:space="preserve">交控科技的前世今生：2025年Q3营收14.9亿行业排11，净利润1.21亿超行业中位数|交控科技_新浪财经_新浪网 — https://finance.sina.com.cn/stock/aiassist/agqsjs/2025-10-31/doc-infvuxsr3955945.shtml?utm_source=openai</w:t>
      </w:r>
    </w:p>
    <w:p>
      <w:pPr>
        <w:spacing w:after="200"/>
      </w:pPr>
      <w:r>
        <w:rPr>
          <w:i/>
          <w:iCs/>
          <w:color w:val="595959"/>
          <w:sz w:val="18"/>
          <w:szCs w:val="18"/>
        </w:rPr>
        <w:t xml:space="preserve">交控科技(688015)股票最新价格行情,实时走势图,股价分析预测_英为财情Investing.com — https://cn.investing.com/equities/traffic-control-technology-co-ltd?utm_source=openai</w:t>
      </w:r>
    </w:p>
    <w:p>
      <w:pPr>
        <w:spacing w:after="200"/>
      </w:pPr>
      <w:r>
        <w:rPr>
          <w:i/>
          <w:iCs/>
          <w:color w:val="595959"/>
          <w:sz w:val="18"/>
          <w:szCs w:val="18"/>
        </w:rPr>
        <w:t xml:space="preserve">交控科技(688015)市盈率|估值|基本面 - 理杏仁 — https://www.lixinger.com/equity/company/detail/sh/688015/688015/fundamental/valuation/pe-ttm?utm_source=openai</w:t>
      </w:r>
    </w:p>
    <w:p>
      <w:pPr>
        <w:spacing w:after="200"/>
      </w:pPr>
      <w:r>
        <w:rPr>
          <w:i/>
          <w:iCs/>
          <w:color w:val="595959"/>
          <w:sz w:val="18"/>
          <w:szCs w:val="18"/>
        </w:rPr>
        <w:t xml:space="preserve">交控科技(688015)公告(全部) - 理杏仁 — https://www.lixinger.com/equity/company/detail/sh/688015/688015/announcement?utm_source=openai</w:t>
      </w:r>
    </w:p>
    <w:p>
      <w:pPr>
        <w:spacing w:after="200"/>
      </w:pPr>
      <w:r>
        <w:rPr>
          <w:i/>
          <w:iCs/>
          <w:color w:val="595959"/>
          <w:sz w:val="18"/>
          <w:szCs w:val="18"/>
        </w:rPr>
        <w:t xml:space="preserve">交控科技(688015)_公司公告_交控科技：2026年半年度报告摘要新浪财经_新浪网 — https://vip.stock.finance.sina.com.cn/corp/view/vCB_AllBulletinDetail.php?CompanyCode=80505645&amp;gather=1&amp;id=12568134&amp;utm_source=openai</w:t>
      </w:r>
    </w:p>
    <w:p>
      <w:pPr>
        <w:spacing w:after="200"/>
      </w:pPr>
      <w:r>
        <w:rPr>
          <w:i/>
          <w:iCs/>
          <w:color w:val="595959"/>
          <w:sz w:val="18"/>
          <w:szCs w:val="18"/>
        </w:rPr>
        <w:t xml:space="preserve">交控科技股份有限公司2026年半年度报告摘要|上海证券报 — https://paper.cnstock.com/html/2026-08/29/content_2262481.htm</w:t>
      </w:r>
    </w:p>
    <w:p>
      <w:pPr>
        <w:spacing w:after="200"/>
      </w:pPr>
      <w:r>
        <w:rPr>
          <w:i/>
          <w:iCs/>
          <w:color w:val="595959"/>
          <w:sz w:val="18"/>
          <w:szCs w:val="18"/>
        </w:rPr>
        <w:t xml:space="preserve">证券代码：688015 — https://star.sse.com.cn/disclosure/listedinfo/announcement/c/new/2026-01-27/688015_20260127_LBZ9.pdf?utm_source=openai</w:t>
      </w:r>
    </w:p>
    <w:p>
      <w:pPr>
        <w:spacing w:after="200"/>
      </w:pPr>
      <w:r>
        <w:rPr>
          <w:i/>
          <w:iCs/>
          <w:color w:val="595959"/>
          <w:sz w:val="18"/>
          <w:szCs w:val="18"/>
        </w:rPr>
        <w:t xml:space="preserve">交控科技：股东是否实施增持需结合自身资金安排 — https://yuanchuang.10jqka.com.cn/20260423/c676224661.shtml</w:t>
      </w:r>
    </w:p>
    <w:p>
      <w:pPr>
        <w:spacing w:after="200"/>
      </w:pPr>
      <w:r>
        <w:rPr>
          <w:i/>
          <w:iCs/>
          <w:color w:val="595959"/>
          <w:sz w:val="18"/>
          <w:szCs w:val="18"/>
        </w:rPr>
        <w:t xml:space="preserve">交控科技(688015) 最新动态_F10_同花顺金融服务网 — https://basic.10jqka.com.cn/688015/</w:t>
      </w:r>
    </w:p>
    <w:p>
      <w:pPr>
        <w:spacing w:after="200"/>
      </w:pPr>
      <w:r>
        <w:rPr>
          <w:i/>
          <w:iCs/>
          <w:color w:val="595959"/>
          <w:sz w:val="18"/>
          <w:szCs w:val="18"/>
        </w:rPr>
        <w:t xml:space="preserve">交控科技(688015)违规记录_新浪财经_新浪网 — https://money.finance.sina.com.cn/corp/go.php/vGP_GetOutOfLine/stockid/688015.phtml?utm_source=openai</w:t>
      </w:r>
    </w:p>
    <w:p>
      <w:pPr>
        <w:spacing w:after="200"/>
      </w:pPr>
      <w:r>
        <w:rPr>
          <w:i/>
          <w:iCs/>
          <w:color w:val="595959"/>
          <w:sz w:val="18"/>
          <w:szCs w:val="18"/>
        </w:rPr>
        <w:t xml:space="preserve">交控科技股份有限公司关于公司提起仲裁的公告|上海证券报 — https://paper.cnstock.com/html/2026-07/21/content_2246569.htm?utm_source=openai</w:t>
      </w:r>
    </w:p>
    <w:p>
      <w:pPr>
        <w:spacing w:after="200"/>
      </w:pPr>
      <w:r>
        <w:rPr>
          <w:i/>
          <w:iCs/>
          <w:color w:val="595959"/>
          <w:sz w:val="18"/>
          <w:szCs w:val="18"/>
        </w:rPr>
        <w:t xml:space="preserve">交控科技(688015)_公司公告_交控科技：关于对外捐赠暨关联交易的公告新浪财经_新浪网 — https://vip.stock.finance.sina.com.cn/corp/view/vCB_AllBulletinDetail.php?CompanyCode=80505645&amp;gather=1&amp;id=12568133&amp;utm_source=openai</w:t>
      </w:r>
    </w:p>
    <w:p>
      <w:pPr>
        <w:spacing w:after="200"/>
      </w:pPr>
      <w:r>
        <w:rPr>
          <w:i/>
          <w:iCs/>
          <w:color w:val="595959"/>
          <w:sz w:val="18"/>
          <w:szCs w:val="18"/>
        </w:rPr>
        <w:t xml:space="preserve">交控科技：中国低空经济联盟被依法取缔_股票频道_证券之星 — https://stock.stockstar.com/RB2026090900034577.shtml</w:t>
      </w:r>
    </w:p>
    <w:p>
      <w:pPr>
        <w:spacing w:after="200"/>
      </w:pPr>
      <w:r>
        <w:rPr>
          <w:i/>
          <w:iCs/>
          <w:color w:val="595959"/>
          <w:sz w:val="18"/>
          <w:szCs w:val="18"/>
        </w:rPr>
        <w:t xml:space="preserve">https://sns.sseinfo.com/ajax/userfeeds.do?page=2&amp;pageSize=10&amp;type=11&amp;typeCode=company&amp;uid=145870&amp;utm_source=openai — https://sns.sseinfo.com/ajax/userfeeds.do?page=2&amp;pageSize=10&amp;type=11&amp;typeCode=company&amp;uid=145870&amp;utm_source=openai</w:t>
      </w:r>
    </w:p>
    <w:p>
      <w:pPr>
        <w:spacing w:after="200"/>
      </w:pPr>
      <w:r>
        <w:rPr>
          <w:i/>
          <w:iCs/>
          <w:color w:val="595959"/>
          <w:sz w:val="18"/>
          <w:szCs w:val="18"/>
        </w:rPr>
        <w:t xml:space="preserve">交控科技 — https://zh.wikipedia.org/wiki/%E4%BA%A4%E6%8E%A7%E7%A7%91%E6%8A%80?utm_source=openai</w:t>
      </w:r>
    </w:p>
    <w:p>
      <w:pPr>
        <w:spacing w:after="200"/>
      </w:pPr>
      <w:r>
        <w:rPr>
          <w:i/>
          <w:iCs/>
          <w:color w:val="595959"/>
          <w:sz w:val="18"/>
          <w:szCs w:val="18"/>
        </w:rPr>
        <w:t xml:space="preserve">交控科技(688015)股票历史数据:历史行情,价格,走势图表_英为财情Investing.com — https://cn.investing.com/equities/traffic-control-technology-co-ltd-historical-data?utm_source=openai</w:t>
      </w:r>
    </w:p>
    <w:p>
      <w:pPr>
        <w:spacing w:after="200"/>
      </w:pPr>
      <w:r>
        <w:rPr>
          <w:i/>
          <w:iCs/>
          <w:color w:val="595959"/>
          <w:sz w:val="18"/>
          <w:szCs w:val="18"/>
        </w:rPr>
        <w:t xml:space="preserve">单股调研 — https://www.ashare-dashboard.com/stocks?details=1&amp;ts_code=688015.SH&amp;utm_source=openai</w:t>
      </w:r>
    </w:p>
    <w:p>
      <w:pPr>
        <w:spacing w:after="200"/>
      </w:pPr>
      <w:r>
        <w:rPr>
          <w:i/>
          <w:iCs/>
          <w:color w:val="595959"/>
          <w:sz w:val="18"/>
          <w:szCs w:val="18"/>
        </w:rPr>
        <w:t xml:space="preserve">交控科技(688015)股票行情走势技术分析_未来预测_买卖操作建议_英为财情Investing.com — https://cn.investing.com/equities/traffic-control-technology-co-ltd-technical</w:t>
      </w:r>
    </w:p>
    <w:p>
      <w:pPr>
        <w:spacing w:after="200"/>
      </w:pPr>
      <w:r>
        <w:rPr>
          <w:i/>
          <w:iCs/>
          <w:color w:val="595959"/>
          <w:sz w:val="18"/>
          <w:szCs w:val="18"/>
        </w:rPr>
        <w:t xml:space="preserve">交控科技(688015)资金流向_个股行情_同花顺财经 — https://stockpage.10jqka.com.cn/688015/Funds/</w:t>
      </w:r>
    </w:p>
    <w:p>
      <w:pPr>
        <w:spacing w:after="200"/>
      </w:pPr>
      <w:r>
        <w:rPr>
          <w:i/>
          <w:iCs/>
          <w:color w:val="595959"/>
          <w:sz w:val="18"/>
          <w:szCs w:val="18"/>
        </w:rPr>
        <w:t xml:space="preserve">本报告由AI基于公开渠道信息自动检索、整理并生成，信息截至 截至2026年9月11日（周五）收盘；2026年9月11日为最近一个交易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2026-09-13T12:37:23.580Z</dcterms:created>
  <dcterms:modified xsi:type="dcterms:W3CDTF">2026-09-13T12:37:23.580Z</dcterms:modified>
</cp:coreProperties>
</file>

<file path=docProps/custom.xml><?xml version="1.0" encoding="utf-8"?>
<Properties xmlns="http://schemas.openxmlformats.org/officeDocument/2006/custom-properties" xmlns:vt="http://schemas.openxmlformats.org/officeDocument/2006/docPropsVTypes"/>
</file>