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苏州绿的谐波传动科技股份有限公司 (688017)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行业：精密传动与机器人核心零部件</w:t>
      </w:r>
    </w:p>
    <w:p>
      <w:pPr>
        <w:jc w:val="center"/>
      </w:pPr>
      <w:r>
        <w:rPr>
          <w:color w:val="595959"/>
          <w:sz w:val="22"/>
          <w:szCs w:val="22"/>
        </w:rPr>
        <w:t xml:space="preserve">报告日期：2026年9月13日</w:t>
      </w:r>
    </w:p>
    <w:p>
      <w:pPr>
        <w:jc w:val="center"/>
      </w:pPr>
      <w:r>
        <w:rPr>
          <w:color w:val="595959"/>
          <w:sz w:val="20"/>
          <w:szCs w:val="20"/>
        </w:rPr>
        <w:t xml:space="preserve">截至2026年9月11日收盘；股东结构数据截至2026年6月30日，MACD及部分RSI参考数据截至2026年9月4日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绿的谐波2026年上半年实现营业收入3.49亿元，同比增长38.64%，归母净利润7010.92万元，同比增长31.25%；2025年全年收入和归母净利润分别为5.71亿元和1.24亿元，同比增速为47.31%和121.42%，业绩延续较快增长。增长主要来自工业机器人业务份额提升、具身智能机器人业务规模增长、产品出货量增加及产能扩张，但2026年上半年毛利率降至32.26%，同比下降约2.51个百分点，经营活动现金流净额为-1741.57万元，利润增长尚未完全转化为经营现金流。</w:t>
      </w:r>
    </w:p>
    <w:p>
      <w:pPr>
        <w:spacing w:after="160" w:line="300"/>
      </w:pPr>
      <w:r>
        <w:rPr>
          <w:sz w:val="22"/>
          <w:szCs w:val="22"/>
        </w:rPr>
        <w:t xml:space="preserve">公司主营谐波减速器及精密零部件，2025年相关收入约4.77亿元，仍占据主要业务地位；机电一体化产品2025年收入约7430万元，2024年毛利率为41.14%，有助于提升产品附加值。公司位于机器人核心零部件上游，具备自主加工、规模化生产和本土化服务优势，但2025年谐波减速器产能约64万台、产量约43万台，产能利用率约68%，且行业价格竞争、客户降本和新产线折旧仍对盈利能力形成约束。</w:t>
      </w:r>
    </w:p>
    <w:p>
      <w:pPr>
        <w:spacing w:after="160" w:line="300"/>
      </w:pPr>
      <w:r>
        <w:rPr>
          <w:sz w:val="22"/>
          <w:szCs w:val="22"/>
        </w:rPr>
        <w:t xml:space="preserve">市场预期仍较为积极，机构平均预测2026—2028年归母净利润约为1.93亿元、2.83亿元和3.93亿元，但相关预测高度依赖工业机器人、具身智能及人形机器人客户的放量速度。与此同时，截至2026年9月10日，公司市盈率TTM约370倍，按机构平均EPS预测的2026—2028年动态PE约为271.5倍、185.1倍和133.2倍，估值已较大程度计入未来高增长预期。</w:t>
      </w:r>
    </w:p>
    <w:p>
      <w:pPr>
        <w:spacing w:after="160" w:line="300"/>
      </w:pPr>
      <w:r>
        <w:rPr>
          <w:sz w:val="22"/>
          <w:szCs w:val="22"/>
        </w:rPr>
        <w:t xml:space="preserve">截至2026年9月11日，公司股价收于280.66元，较52周高点回撤约43.4%，收盘价低于MA5、MA10和MA20，近5个交易日主力资金合计净流出约1.99亿元，短期处于高波动回撤和弱势整理阶段。公司同时筹划发行H股并赴香港上市，但事项仍处于股东会审议及监管备案前阶段，发行规模、价格、时间和募集资金用途尚未确定。</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688017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绿的谐波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2020年8月28日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精密传动装置的研发、设计、生产和销售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核心产品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谐波减速器及精密零部件</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产业链位置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机器人及高端装备产业链上游核心零部件环节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约3.874亿元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2025年产能与产量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谐波减速器产能约64万台，产量约43万台，产能利用率约68%；数据来自2025年年度报告及相关公开资料</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数据局限</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部分市场份额、毛利率和净利率数据来自公开财务数据整理；2025年营运资金及部分客户结构数据未完成完整交叉核实，具体以最新年度报告及监管问询回复为准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谐波减速器及精密零部件：包括谐波减速器、金属部件及相关核心零部件，是公司收入和利润的主要来源，主要应用于工业机器人、协作机器人和服务机器人、具身智能机器人、数控机床、医疗器械、半导体生产设备、新能源装备及其他高端制造设备。</w:t>
      </w:r>
    </w:p>
    <w:p>
      <w:pPr>
        <w:pStyle w:val="ListParagraph"/>
        <w:numPr>
          <w:ilvl w:val="0"/>
          <w:numId w:val="2"/>
        </w:numPr>
        <w:spacing w:after="80" w:line="280"/>
      </w:pPr>
      <w:r>
        <w:rPr>
          <w:sz w:val="22"/>
          <w:szCs w:val="22"/>
        </w:rPr>
        <w:t xml:space="preserve">机电一体化产品：包括旋转执行器、关节模组、数控转台，将谐波减速器与电机、编码器、控制系统等集成。2024年实现营业收入约5,259万元，同比增长56.74%，毛利率41.14%；2025年收入约7,430万元。</w:t>
      </w:r>
    </w:p>
    <w:p>
      <w:pPr>
        <w:pStyle w:val="ListParagraph"/>
        <w:numPr>
          <w:ilvl w:val="0"/>
          <w:numId w:val="2"/>
        </w:numPr>
        <w:spacing w:after="80" w:line="280"/>
      </w:pPr>
      <w:r>
        <w:rPr>
          <w:sz w:val="22"/>
          <w:szCs w:val="22"/>
        </w:rPr>
        <w:t xml:space="preserve">智能自动化装备及其他产品：包括自动化装备、电液伺服、行星滚柱丝杠等新型传动产品，当前规模相对较小，处于培育和扩展阶段。</w:t>
      </w:r>
    </w:p>
    <w:p>
      <w:pPr>
        <w:pStyle w:val="ListParagraph"/>
        <w:numPr>
          <w:ilvl w:val="0"/>
          <w:numId w:val="2"/>
        </w:numPr>
        <w:spacing w:after="80" w:line="280"/>
      </w:pPr>
      <w:r>
        <w:rPr>
          <w:sz w:val="22"/>
          <w:szCs w:val="22"/>
        </w:rPr>
        <w:t xml:space="preserve">2024年业务构成：谐波减速器及金属件收入约3.254亿元，占营业收入约84%；机电一体化产品收入约5,259万元，占约14%；智能自动化装备收入约463万元，占约1%。</w:t>
      </w:r>
    </w:p>
    <w:p>
      <w:pPr>
        <w:pStyle w:val="ListParagraph"/>
        <w:numPr>
          <w:ilvl w:val="0"/>
          <w:numId w:val="2"/>
        </w:numPr>
        <w:spacing w:after="80" w:line="280"/>
      </w:pPr>
      <w:r>
        <w:rPr>
          <w:sz w:val="22"/>
          <w:szCs w:val="22"/>
        </w:rPr>
        <w:t xml:space="preserve">2025年年度报告数据显示：谐波减速器及金属件收入约4.765亿元，机电一体化产品收入约7,430万元，智能自动化装备收入约1,489万元，工业及具身智能机器人零部件相关收入约4.225亿元。</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绿的谐波位于机器人和高端装备产业链上游核心零部件环节，主要向机器人整机厂商、自动化设备厂商和高端装备制造商提供精密减速器、执行器及相关传动组件。减速器对机器人精度、刚性、负载能力、寿命和稳定性具有重要影响，客户认证周期较长，工艺稳定性、批量交付能力和协同开发能力是关键竞争要素。</w:t>
      </w:r>
    </w:p>
    <w:p>
      <w:pPr>
        <w:pStyle w:val="ListParagraph"/>
        <w:numPr>
          <w:ilvl w:val="0"/>
          <w:numId w:val="2"/>
        </w:numPr>
        <w:spacing w:after="80" w:line="280"/>
      </w:pPr>
      <w:r>
        <w:rPr>
          <w:sz w:val="22"/>
          <w:szCs w:val="22"/>
        </w:rPr>
        <w:t xml:space="preserve">主要投入品包括特种钢材及其他金属材料、柔轮和刚轮等核心金属结构件所需材料、轴承及相关标准件、润滑材料，以及精密加工、热处理、检测和装配设备。公司还使用外协加工服务。</w:t>
      </w:r>
    </w:p>
    <w:p>
      <w:pPr>
        <w:pStyle w:val="ListParagraph"/>
        <w:numPr>
          <w:ilvl w:val="0"/>
          <w:numId w:val="2"/>
        </w:numPr>
        <w:spacing w:after="80" w:line="280"/>
      </w:pPr>
      <w:r>
        <w:rPr>
          <w:sz w:val="22"/>
          <w:szCs w:val="22"/>
        </w:rPr>
        <w:t xml:space="preserve">公司具备从基础材料研究、零部件粗加工、精密加工到整机装配和检测的较完整制造能力，并披露能够对谐波减速器核心零部件进行自主加工。</w:t>
      </w:r>
    </w:p>
    <w:p>
      <w:pPr>
        <w:pStyle w:val="ListParagraph"/>
        <w:numPr>
          <w:ilvl w:val="0"/>
          <w:numId w:val="2"/>
        </w:numPr>
        <w:spacing w:after="80" w:line="280"/>
      </w:pPr>
      <w:r>
        <w:rPr>
          <w:sz w:val="22"/>
          <w:szCs w:val="22"/>
        </w:rPr>
        <w:t xml:space="preserve">2023年谐波减速器及金属部件成本中，直接材料约占38.76%、直接人工约占26.07%、制造费用约占28.65%、委外加工费约占6.52%；2024年直接材料占比约37.97%，仍为第一大单项成本。</w:t>
      </w:r>
    </w:p>
    <w:p>
      <w:pPr>
        <w:pStyle w:val="ListParagraph"/>
        <w:numPr>
          <w:ilvl w:val="0"/>
          <w:numId w:val="2"/>
        </w:numPr>
        <w:spacing w:after="80" w:line="280"/>
      </w:pPr>
      <w:r>
        <w:rPr>
          <w:sz w:val="22"/>
          <w:szCs w:val="22"/>
        </w:rPr>
        <w:t xml:space="preserve">截至2024年12月31日，前五大供应商采购额约2,104万元，占年度采购总额约20.03%，前五大供应商中无关联方采购。该数据表明供应商集中度不高，但公司未完全披露各类关键原材料的具体采购价格敏感度。</w:t>
      </w:r>
    </w:p>
    <w:p>
      <w:pPr>
        <w:pStyle w:val="ListParagraph"/>
        <w:numPr>
          <w:ilvl w:val="0"/>
          <w:numId w:val="2"/>
        </w:numPr>
        <w:spacing w:after="80" w:line="280"/>
      </w:pPr>
      <w:r>
        <w:rPr>
          <w:sz w:val="22"/>
          <w:szCs w:val="22"/>
        </w:rPr>
        <w:t xml:space="preserve">公司对特种钢材、轴承等单项材料价格的利润弹性无法仅凭纪要确定；成本还受到产能利用率、新产线折旧、产品价格竞争、产品结构、委外加工比例、加工良率和生产效率影响。</w:t>
      </w:r>
    </w:p>
    <w:p>
      <w:pPr>
        <w:pStyle w:val="ListParagraph"/>
        <w:numPr>
          <w:ilvl w:val="0"/>
          <w:numId w:val="2"/>
        </w:numPr>
        <w:spacing w:after="80" w:line="280"/>
      </w:pPr>
      <w:r>
        <w:rPr>
          <w:sz w:val="22"/>
          <w:szCs w:val="22"/>
        </w:rPr>
        <w:t xml:space="preserve">下游客户主要包括工业机器人整机厂商、协作机器人和服务机器人企业、自动化设备厂商、数控机床企业、医疗器械企业、半导体及新能源装备企业以及具身智能机器人企业。</w:t>
      </w:r>
    </w:p>
    <w:p>
      <w:pPr>
        <w:pStyle w:val="ListParagraph"/>
        <w:numPr>
          <w:ilvl w:val="0"/>
          <w:numId w:val="2"/>
        </w:numPr>
        <w:spacing w:after="80" w:line="280"/>
      </w:pPr>
      <w:r>
        <w:rPr>
          <w:sz w:val="22"/>
          <w:szCs w:val="22"/>
        </w:rPr>
        <w:t xml:space="preserve">截至2024年12月31日，前五大客户销售额约1.339亿元，占年度销售总额34.71%；第一大客户销售额占比约9.06%，单一客户销售占比未超过50%。纪要未披露客户具体名称，且2025年前五大客户结构及各客户业务占比应以最新年度报告及监管问询回复为准。</w:t>
      </w:r>
    </w:p>
    <w:p>
      <w:pPr>
        <w:pStyle w:val="ListParagraph"/>
        <w:numPr>
          <w:ilvl w:val="0"/>
          <w:numId w:val="2"/>
        </w:numPr>
        <w:spacing w:after="80" w:line="280"/>
      </w:pPr>
      <w:r>
        <w:rPr>
          <w:sz w:val="22"/>
          <w:szCs w:val="22"/>
        </w:rPr>
        <w:t xml:space="preserve">公司披露不存在对单一客户重大依赖的情形，但2025年收入增长较快，若具身智能机器人领域头部客户进入批量采购阶段，客户集中度可能阶段性上升。</w:t>
      </w:r>
    </w:p>
    <w:p>
      <w:pPr>
        <w:pStyle w:val="ListParagraph"/>
        <w:numPr>
          <w:ilvl w:val="0"/>
          <w:numId w:val="2"/>
        </w:numPr>
        <w:spacing w:after="80" w:line="280"/>
      </w:pPr>
      <w:r>
        <w:rPr>
          <w:sz w:val="22"/>
          <w:szCs w:val="22"/>
        </w:rPr>
        <w:t xml:space="preserve">下游客户通常要求供应商持续降本、提高一致性并缩短交付周期，工业机器人行业的价格竞争可能向上游传导；批量供货后，公司可能面临客户年度降价和集中采购压力。</w:t>
      </w:r>
    </w:p>
    <w:p>
      <w:pPr>
        <w:pStyle w:val="ListParagraph"/>
        <w:numPr>
          <w:ilvl w:val="0"/>
          <w:numId w:val="2"/>
        </w:numPr>
        <w:spacing w:after="80" w:line="280"/>
      </w:pPr>
      <w:r>
        <w:rPr>
          <w:sz w:val="22"/>
          <w:szCs w:val="22"/>
        </w:rPr>
        <w:t xml:space="preserve">公司在高精度、高可靠性产品上具有一定议价能力，客户切换需要重新进行技术验证；但标准化和中低端产品领域可能面临更强价格竞争。具身智能客户仍处于产业化早期，订单规模和量产节奏具有不确定性。</w:t>
      </w:r>
    </w:p>
    <w:p>
      <w:pPr>
        <w:pStyle w:val="ListParagraph"/>
        <w:numPr>
          <w:ilvl w:val="0"/>
          <w:numId w:val="2"/>
        </w:numPr>
        <w:spacing w:after="80" w:line="280"/>
      </w:pPr>
      <w:r>
        <w:rPr>
          <w:sz w:val="22"/>
          <w:szCs w:val="22"/>
        </w:rPr>
        <w:t xml:space="preserve">截至2024年12月31日，公司前五大客户销售额占比34.71%，高于前五大供应商采购额占比20.03%，显示公司对主要下游客户的集中依赖程度高于对上游供应商的依赖。公开资料在本次检索范围内未能完整交叉核实2025年应收账款周转天数、应收账款占营业收入比例及按客户维度的回款情况，因此无法对具体营运资金占用水平作确定判断，相关数据应以2025年年度报告资产负债表、应收账款附注及监管问询回复为准。</w:t>
      </w:r>
    </w:p>
    <w:p>
      <w:pPr>
        <w:pStyle w:val="ListParagraph"/>
        <w:numPr>
          <w:ilvl w:val="0"/>
          <w:numId w:val="2"/>
        </w:numPr>
        <w:spacing w:after="80" w:line="280"/>
      </w:pPr>
      <w:r>
        <w:rPr>
          <w:sz w:val="22"/>
          <w:szCs w:val="22"/>
        </w:rPr>
        <w:t xml:space="preserve">客户集中度数据为2024年12月31日口径：前五大客户占销售总额34.71%，第一大客户占比约9.06%；供应商集中度数据为2024年12月31日口径：前五大供应商占采购总额约20.03%。上述数据来自研究纪要所列2024年年度报告相关披露；客户和供应商名称部分以匿名形式披露，且2025年客户结构尚待最新年报及问询回复确认，不能据此完整判断最终应用领域和议价能力。</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约47.18%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约37.54%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工业机器人及精密减速器需求较强，产品结构和产能利用率较好。数据根据年度报告及公开财务数据整理。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约52.52%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约42.87%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下游机器人需求增长，规模效应和高毛利谐波减速器占比较高。数据根据年度报告及公开财务数据整理。</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约48.69%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约35.09%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行业需求仍在，但扩产、研发投入和制造费用增加，毛利率较2021年回落。数据根据年度报告及公开财务数据整理。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约41.14%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约23.82%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工业机器人行业阶段性波动，减速器产销量下降；新产线折旧等固定成本对利润率形成压力。数据根据年度报告及公开财务数据整理。</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约37.54%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约14.41%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收入恢复增长，但核心谐波减速器产品毛利率下降，产能爬坡、折旧、价格竞争和研发投入共同压缩净利率。数据根据年度报告及公开财务数据整理。</w:t>
            </w:r>
          </w:p>
        </w:tc>
      </w:tr>
    </w:tbl>
    <w:p>
      <w:pPr>
        <w:spacing w:before="200"/>
      </w:pPr>
    </w:p>
    <w:p>
      <w:pPr>
        <w:spacing w:after="160" w:line="300"/>
      </w:pPr>
      <w:r>
        <w:rPr>
          <w:sz w:val="22"/>
          <w:szCs w:val="22"/>
        </w:rPr>
        <w:t xml:space="preserve">公司处于微笑曲线中偏高附加值的上游技术密集型精密核心零部件环节，但并非资源端或终端品牌端的高毛利位置。当前利润率受到下游客户议价、行业价格竞争、新产线折旧和产能利用率影响；进一步改善主要取决于提高产能利用率、提升机电一体化和关节模组等高附加值产品占比、拓展高端客户、增强产品提价能力以及实现具身智能机器人客户批量供应。2025年谐波减速器及金属件毛利率回升至约36.77%，但尚未恢复到2021—2022年的整体盈利水平。</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3.4855亿元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同比增长38.64%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归母净利润7010.92万元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同比增长31.25%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1.4013亿元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同比增长42.96%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归母净利润约3263万元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同比增长61.17%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2026年第二季度（倒算估算）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约2.084亿元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归母净利润约3748万元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5.7071亿元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同比增长47.31%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归母净利润1.2437亿元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同比增长121.42%</w:t>
            </w:r>
          </w:p>
        </w:tc>
      </w:tr>
    </w:tbl>
    <w:p>
      <w:pPr>
        <w:spacing w:after="200"/>
      </w:pPr>
      <w:r>
        <w:rPr>
          <w:i/>
          <w:iCs/>
          <w:color w:val="595959"/>
          <w:sz w:val="18"/>
          <w:szCs w:val="18"/>
        </w:rPr>
        <w:t xml:space="preserve">2026年半年度报告于2026年8月27日披露，为纪要所述最新正式财报。2026年第二季度数据根据半年报和一季报倒算，并非公司单独披露的季度报表。2026年上半年扣非归母净利润为5816.63万元，同比增长36.92%；基本每股收益为0.3824元。2025年扣非归母净利润约9942.85万元，同比增长115.19%；基本每股收益约0.6924元。</w:t>
      </w:r>
    </w:p>
    <w:p>
      <w:pPr>
        <w:spacing w:after="160" w:line="300"/>
      </w:pPr>
      <w:r>
        <w:rPr>
          <w:sz w:val="22"/>
          <w:szCs w:val="22"/>
        </w:rPr>
        <w:t xml:space="preserve">2026年上半年收入和利润保持较快增长，主要驱动因素包括工业机器人行业份额提升、具身智能机器人业务规模增长、产品出货量增加及产能扩张。同期毛利率为32.26%，较上年同期下降约2.51个百分点；研发费用约3461万元，同比增长50.26%，研发费用率为9.93%。经营活动现金流量净额为-1741.57万元，上年同期为4679.61万元，利润增长尚未完全转化为经营现金流，需关注应收账款、存货及客户回款情况。2025年综合毛利率为36.91%，期间费用率约16.70%。</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汇总预测截至2026年9月8日，2026年和2027年分别有16家机构参与预测，2028年约有15家机构参与预测。收入预测中，2026年平均值来自同花顺页面；2027—2028年采用多家券商公开研报进行交叉比较。预测数据属于券商研报或第三方平台整理，不是公司官方业绩指引。不同机构在收入、利润及EPS预测方面存在差异，主要分歧集中在人形机器人客户放量速度、丝杠及执行器业务进展、毛利率变化及行业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机构平均预测约8.39亿元；券商预测区间约7.9—8.4亿元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机构平均预测约1.93亿元，区间1.73—2.12亿元；券商预测区间约1.8—2.1亿元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未披露统一的机构平均增速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机构平均预测约1.05元，区间0.94—1.15元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公开页面未完整展示统一的多机构平均值；券商预测区间约10.8—12.1亿元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机构平均预测约2.83亿元，区间2.50—3.23亿元；券商预测区间约2.5—3.2亿元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未披露统一的机构平均增速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机构平均预测约1.54元，区间1.36—1.76元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公开页面未完整展示统一的多机构平均值；券商预测区间约14.4—16.8亿元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机构平均预测约3.93亿元，区间3.35—4.54亿元；券商预测区间约3.4—4.3亿元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未披露统一的机构平均增速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机构平均预测约2.14元，区间1.83—2.48元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国元证券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预计2026—2028年归母净利润分别为1.96亿元、2.57亿元和3.35亿元，EPS分别为1.07元、1.40元和1.83元；对应PE约273倍、208倍和160倍。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未明确披露评级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预计2026—2028年归母净利润分别为1.90亿元、2.99亿元和3.98亿元；对应PE约289倍、183倍和138倍。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未披露具体日期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预计2026—2028年营业收入分别为8.43亿元、11.86亿元和16.28亿元，归母净利润分别为1.924亿元、2.80亿元和3.93亿元。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目标价不超过427元。公开汇总数据显示，近6个月约有8家机构发布相关研报，2026年目标价区间约为242.95—427元，平均目标价约344.89元。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未明确披露评级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预计2026—2028年营业收入约7.88亿元、10.75亿元和14.43亿元，归母净利润约1.88亿元、2.50亿元和3.62亿元，EPS约1.03元、1.36元和1.97元。</w:t>
            </w:r>
          </w:p>
        </w:tc>
      </w:tr>
    </w:tbl>
    <w:p>
      <w:pPr>
        <w:spacing w:before="200"/>
      </w:pPr>
    </w:p>
    <w:p>
      <w:pPr>
        <w:spacing w:after="160" w:line="300"/>
      </w:pPr>
      <w:r>
        <w:rPr>
          <w:sz w:val="22"/>
          <w:szCs w:val="22"/>
        </w:rPr>
        <w:t xml:space="preserve">截至2026年9月10日收盘，股价为285.08元，总市值约522.64亿元，市盈率TTM大致在370倍左右，市净率约14.5倍。以该收盘价计算，按机构平均EPS预测，2026—2028年动态PE分别约为271.5倍、185.1倍和133.2倍；按国元证券EPS预测，分别约为266.4倍、203.6倍和155.8倍。截至2026年9月11日盘中，股价一度约为274.22元，总市值约502.20亿元，页面显示动态市盈率约358.55倍，该数据不应与9月10日收盘估值直接混用。公司2026年6月30日披露的滚动市盈率为484.79倍，而通用设备制造业最近一个月平均滚动市盈率约为41.85倍，公司估值显著高于行业平均水平。机构目标价区间约为242.95—427元，平均目标价约344.89元，但目标价来自不同日期、股价基准和盈利预测假设，不能简单视为统一市场共识。整体看，公司当前估值已较大程度计入具身智能、人形机器人和工业机器人需求持续高增长预期，估值能否消化取决于相关业务放量速度及盈利兑现情况。若未来利润兑现低于市场预期，存在较明显的估值回撤风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筹划发行H股并赴香港上市</w:t>
      </w:r>
    </w:p>
    <w:p>
      <w:pPr>
        <w:spacing w:after="160" w:line="300"/>
      </w:pPr>
      <w:r>
        <w:rPr>
          <w:sz w:val="22"/>
          <w:szCs w:val="22"/>
        </w:rPr>
        <w:t xml:space="preserve">2026年8月26日，公司召开第三届董事会第十五次会议，审议通过拟首次公开发行境外上市股份（H股）并在香港联合交易所主板上市的相关议案，并于2026年8月27日披露提示性公告。公司表示，相关计划旨在深化全球化战略布局、提升国际化品牌形象、拓宽融资渠道及提升核心竞争力。截至2026年9月11日，该事项仍处于筹划阶段，最终发行规模、发行价格、发行时间及募集资金用途尚未确定，且尚需提交股东会审议，并取得中国证监会、香港联交所及香港证监会等相关监管机构的备案、批准或核准，最终能否实施存在较大不确定性。</w:t>
      </w:r>
    </w:p>
    <w:p>
      <w:pPr>
        <w:pStyle w:val="Heading2"/>
        <w:spacing w:after="120" w:before="240"/>
      </w:pPr>
      <w:r>
        <w:rPr>
          <w:b/>
          <w:bCs/>
          <w:color w:val="2E74B5"/>
          <w:sz w:val="24"/>
          <w:szCs w:val="24"/>
        </w:rPr>
        <w:t xml:space="preserve">4.2 2026年第二次临时股东会将审议H股上市相关议案</w:t>
      </w:r>
    </w:p>
    <w:p>
      <w:pPr>
        <w:spacing w:after="160" w:line="300"/>
      </w:pPr>
      <w:r>
        <w:rPr>
          <w:sz w:val="22"/>
          <w:szCs w:val="22"/>
        </w:rPr>
        <w:t xml:space="preserve">公司拟于2026年9月14日召开2026年第二次临时股东会，审议发行H股股票并在香港联合交易所上市、H股发行上市方案、授权董事会及其获授权人士处理境外发行股票及上市相关事宜、发行H股前滚存利润分配方案、聘请H股发行及上市审计机构、修订公司章程及相关治理制度、增选独立非执行董事及确认董事类型等议案。截至2026年9月11日，股东会尚未召开，尚无表决结果。</w:t>
      </w:r>
    </w:p>
    <w:p>
      <w:pPr>
        <w:pStyle w:val="Heading2"/>
        <w:spacing w:after="120" w:before="240"/>
      </w:pPr>
      <w:r>
        <w:rPr>
          <w:b/>
          <w:bCs/>
          <w:color w:val="2E74B5"/>
          <w:sz w:val="24"/>
          <w:szCs w:val="24"/>
        </w:rPr>
        <w:t xml:space="preserve">4.3 2026年半年度业绩同比增长，公司未进行中期分红</w:t>
      </w:r>
    </w:p>
    <w:p>
      <w:pPr>
        <w:spacing w:after="160" w:line="300"/>
      </w:pPr>
      <w:r>
        <w:rPr>
          <w:sz w:val="22"/>
          <w:szCs w:val="22"/>
        </w:rPr>
        <w:t xml:space="preserve">公司于2026年8月27日披露《2026年半年度报告》。2026年上半年实现营业收入约3.49亿元，同比增长38.64%；实现归属于上市公司股东的净利润约7010.92万元，同比增长31.25%；基本每股收益0.3824元。半年度报告未经审计。公司同时披露，2026年上半年不进行利润分配，也不进行资本公积金转增股本。报告期内，公司未披露重大资产收购、重大诉讼、重大担保、破产重整或其他对经营产生重大不利影响的事项。</w:t>
      </w:r>
    </w:p>
    <w:p>
      <w:pPr>
        <w:pStyle w:val="Heading2"/>
        <w:spacing w:after="120" w:before="240"/>
      </w:pPr>
      <w:r>
        <w:rPr>
          <w:b/>
          <w:bCs/>
          <w:color w:val="2E74B5"/>
          <w:sz w:val="24"/>
          <w:szCs w:val="24"/>
        </w:rPr>
        <w:t xml:space="preserve">4.4 股东会通知更正补充及会议资料披露</w:t>
      </w:r>
    </w:p>
    <w:p>
      <w:pPr>
        <w:spacing w:after="160" w:line="300"/>
      </w:pPr>
      <w:r>
        <w:rPr>
          <w:sz w:val="22"/>
          <w:szCs w:val="22"/>
        </w:rPr>
        <w:t xml:space="preserve">2026年8月27日，公司披露《关于召开2026年第二次临时股东会的通知》，原定于2026年9月14日召开，股权登记日为2026年9月7日。2026年9月5日，公司披露股东会更正补充公告；2026年9月10日，进一步披露股东会会议资料。相关事项仍主要围绕H股发行上市、上市后治理制度调整、增选独立非执行董事、滚存利润安排及聘请审计机构等内容。截至2026年9月11日，股东会尚未召开，尚无表决结果。</w:t>
      </w:r>
    </w:p>
    <w:p>
      <w:pPr>
        <w:pStyle w:val="Heading2"/>
        <w:spacing w:after="120" w:before="240"/>
      </w:pPr>
      <w:r>
        <w:rPr>
          <w:b/>
          <w:bCs/>
          <w:color w:val="2E74B5"/>
          <w:sz w:val="24"/>
          <w:szCs w:val="24"/>
        </w:rPr>
        <w:t xml:space="preserve">4.5 董事会及公司治理结构配套调整</w:t>
      </w:r>
    </w:p>
    <w:p>
      <w:pPr>
        <w:spacing w:after="160" w:line="300"/>
      </w:pPr>
      <w:r>
        <w:rPr>
          <w:sz w:val="22"/>
          <w:szCs w:val="22"/>
        </w:rPr>
        <w:t xml:space="preserve">2026年8月27日，公司披露《关于增选董事及调整董事会专门委员会委员的公告》，相关调整与拟发行H股并在香港上市相配套。同日，公司集中披露拟在H股发行上市后适用的股东会议事规则、董事会议事规则、独立董事工作制度、关联交易决策制度、对外投资管理制度、对外担保决策制度、信息披露事务管理制度、投资者关系管理制度、内幕信息知情人登记管理制度及董事会各专门委员会议事规则等制度草案。上述公告不代表H股已经获批上市。</w:t>
      </w:r>
    </w:p>
    <w:p>
      <w:pPr>
        <w:pStyle w:val="Heading2"/>
        <w:spacing w:after="120" w:before="240"/>
      </w:pPr>
      <w:r>
        <w:rPr>
          <w:b/>
          <w:bCs/>
          <w:color w:val="2E74B5"/>
          <w:sz w:val="24"/>
          <w:szCs w:val="24"/>
        </w:rPr>
        <w:t xml:space="preserve">4.6 募集资金投资项目延期及年报问询回复</w:t>
      </w:r>
    </w:p>
    <w:p>
      <w:pPr>
        <w:spacing w:after="160" w:line="300"/>
      </w:pPr>
      <w:r>
        <w:rPr>
          <w:sz w:val="22"/>
          <w:szCs w:val="22"/>
        </w:rPr>
        <w:t xml:space="preserve">2026年7月10日，公司披露《关于募集资金投资项目延期的公告》，涉及项目为“新一代精密传动装置智能制造项目”。该项目资金来源于公司向特定对象发行股票募集资金，公司此前募集资金总额约14.13亿元，扣除发行费用后募集资金净额约14.02亿元。截至2026年5月31日，该项目投入进度较低，公司决定调整项目达到预定可使用状态的时间。公司表示，本次延期不改变募集资金投向，不会对正常经营产生重大不利影响，保荐机构中信证券对此无异议。同日，公司披露对2025年年度报告信息披露监管问询函的回复及2025年年度报告更正后版本。项目延期可能推迟新增产能及募集资金转化为收入、利润的时间。</w:t>
      </w:r>
    </w:p>
    <w:p>
      <w:pPr>
        <w:pStyle w:val="Heading2"/>
        <w:spacing w:after="120" w:before="240"/>
      </w:pPr>
      <w:r>
        <w:rPr>
          <w:b/>
          <w:bCs/>
          <w:color w:val="2E74B5"/>
          <w:sz w:val="24"/>
          <w:szCs w:val="24"/>
        </w:rPr>
        <w:t xml:space="preserve">4.7 2025年度业绩信息及三季度业绩披露情况</w:t>
      </w:r>
    </w:p>
    <w:p>
      <w:pPr>
        <w:spacing w:after="160" w:line="300"/>
      </w:pPr>
      <w:r>
        <w:rPr>
          <w:sz w:val="22"/>
          <w:szCs w:val="22"/>
        </w:rPr>
        <w:t xml:space="preserve">公司于2026年1月30日披露2025年度业绩预告，预计2025年度归属于上市公司股东的净利润约为1.15亿元至1.30亿元，同比增长约104.74%至131.45%。2026年2月27日，公司披露2025年度业绩快报，营业总收入约5.69亿元，归属于上市公司股东的净利润约1.249亿元，基本每股收益0.6954元。截至2026年9月11日，公司尚未披露2026年第三季度业绩预告或三季度业绩快报，当前业绩信息以2026年半年度报告为主。</w:t>
      </w:r>
    </w:p>
    <w:p>
      <w:pPr>
        <w:pStyle w:val="Heading2"/>
        <w:spacing w:after="120" w:before="240"/>
      </w:pPr>
      <w:r>
        <w:rPr>
          <w:b/>
          <w:bCs/>
          <w:color w:val="2E74B5"/>
          <w:sz w:val="24"/>
          <w:szCs w:val="24"/>
        </w:rPr>
        <w:t xml:space="preserve">4.8 回购、增持、减持及股东动态</w:t>
      </w:r>
    </w:p>
    <w:p>
      <w:pPr>
        <w:spacing w:after="160" w:line="300"/>
      </w:pPr>
      <w:r>
        <w:rPr>
          <w:sz w:val="22"/>
          <w:szCs w:val="22"/>
        </w:rPr>
        <w:t xml:space="preserve">截至2026年9月11日，未检索到公司在2026年8月至9月期间披露新的股份回购方案、回购实施进展、控股股东增持计划或新的控股股东减持计划。实际控制人左昱昱、左晶此前于2025年进行的减持属于历史事项。2026年半年度报告显示，截至2026年6月30日，公司股东户数约为7.06万户，较2026年3月末明显增加，但股东户数变化不等同于控股股东或重要股东发生减持。</w:t>
      </w:r>
    </w:p>
    <w:p>
      <w:pPr>
        <w:pStyle w:val="Heading2"/>
        <w:spacing w:after="120" w:before="240"/>
      </w:pPr>
      <w:r>
        <w:rPr>
          <w:b/>
          <w:bCs/>
          <w:color w:val="2E74B5"/>
          <w:sz w:val="24"/>
          <w:szCs w:val="24"/>
        </w:rPr>
        <w:t xml:space="preserve">4.9 未发现新的重大并购及重大合作公告</w:t>
      </w:r>
    </w:p>
    <w:p>
      <w:pPr>
        <w:spacing w:after="160" w:line="300"/>
      </w:pPr>
      <w:r>
        <w:rPr>
          <w:sz w:val="22"/>
          <w:szCs w:val="22"/>
        </w:rPr>
        <w:t xml:space="preserve">截至2026年9月11日，未检索到公司在2026年8月至9月披露重大资产并购、重大股权收购、资产出售、重大对外投资或重大业务合作公告。近期最具实质影响的资本运作事项为H股上市计划。公司曾在2026年6月股价异常波动期间披露股票交易风险提示公告，称截至公告披露日不存在筹划中的并购重组、股份发行、重大交易、业务重组、股份回购、股权激励、破产重整、重大业务合作或引进战略投资者等重大事项；该风险提示属于历史股价异动背景下的公告，不能替代对后续H股上市筹划事项的理解。</w:t>
      </w:r>
    </w:p>
    <w:p>
      <w:pPr>
        <w:pStyle w:val="Heading2"/>
        <w:spacing w:after="120" w:before="240"/>
      </w:pPr>
      <w:r>
        <w:rPr>
          <w:b/>
          <w:bCs/>
          <w:color w:val="2E74B5"/>
          <w:sz w:val="24"/>
          <w:szCs w:val="24"/>
        </w:rPr>
        <w:t xml:space="preserve">4.10 近期关注重点及不确定性</w:t>
      </w:r>
    </w:p>
    <w:p>
      <w:pPr>
        <w:spacing w:after="160" w:line="300"/>
      </w:pPr>
      <w:r>
        <w:rPr>
          <w:sz w:val="22"/>
          <w:szCs w:val="22"/>
        </w:rPr>
        <w:t xml:space="preserve">截至2026年9月11日，公司近期公告主线包括：H股上市筹划、2026年上半年业绩同比增长但未进行中期分红、2026年第二次临时股东会审议、募投项目延期及年报问询回复。后续需重点关注三季度业绩预告、H股股东会表决结果、监管备案进展以及募投项目延期后的建设进度。H股上市仍处于筹划和股东会审议阶段，尚未取得最终监管批准，发行规模、价格、时间及募集资金用途均存在不确定性。关于未检索到新的回购、增持、减持及并购公告的结论，基于截至2026年9月11日的公开信息交叉检索，不代表公司未来不会披露相关事项，正式判断应以后续公司及交易所公告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280.66元/股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-4.42元/-1.55%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280.00元/283.00元/271.69元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5.36万手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14.86亿元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约514.53亿元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495.66元/139.62元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较52周高点及低点位置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较52周高点回撤约43.4%，较52周低点上涨约101.1%，处于52周区间中下部</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市盈率约356.44倍，市净率约14.27倍；为行情平台估算值，不同平台可能因TTM、财报更新时点及股本口径不同而存在差异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阶段价格走势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2026年8月18日至9月11日，收盘价由380.80元回落至280.66元；8月19日收盘313.53元，9月7日反弹至294.96元后连续四个交易日走弱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高位快速回撤后反抽乏力，当前处于高波动回撤和弱势整理阶段，未有效收复314元附近前期平台</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约288.75元/288.95元/302.57元，基于截至2026年9月11日近期收盘价重新计算</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收盘价低于三条均线，MA5与MA10已经下穿或接近下穿MA20，短线均线结构偏弱；MA20后续仍可能继续下移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-2.67，Investing数据截至2026年9月4日；未获得9月11日最新独立数据</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9月4日技术评级为“卖出”，反映当时短周期均线位于长周期均线下方；结合9月8日至11日回落，方向大概率仍处于弱势或负值区间，但具体DIF、DEA及柱体数值需以最新交易终端为准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34.63，Investing数据截至2026年9月4日；基于截至9月11日最近14个价格变动简化重算约为43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RSI较9月4日有所修复，但仍未回到明显强势区间，当前更接近弱势修复，重算值可能因复权方式、数据截取时间及计算细节不同而存在差异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以截至2026年9月11日近20个交易日收盘价估算：中轨约302.6元，上轨约352元附近，下轨约253元附近</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收盘价位于中轨下方、下轨上方，处于布林带偏弱区域但尚未触及估算下轨；近期高位波动较大，区间仅为估算值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9月11日主力资金净流出1.43亿元，占成交额约9.65%；最近5个交易日合计净流出约1.99亿元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9月8日至9月11日连续四个交易日净流出，资金面对短期反弹形成压制；证券之星“超大单+大单”口径不能等同于真实账户层面的机构资金流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游资及散户资金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9月11日游资资金净流入约1.49亿元，占成交额约10.05%；散户资金净流出约591.78万元，占成交额约0.40%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短线交易资金仍有一定承接，但尚未形成主力资金与量价同步改善的确认信号</w:t>
            </w:r>
          </w:p>
        </w:tc>
      </w:tr>
    </w:tbl>
    <w:p>
      <w:pPr>
        <w:spacing w:before="200"/>
      </w:pPr>
    </w:p>
    <w:p>
      <w:pPr>
        <w:spacing w:after="160" w:line="300"/>
      </w:pPr>
      <w:r>
        <w:rPr>
          <w:sz w:val="22"/>
          <w:szCs w:val="22"/>
        </w:rPr>
        <w:t xml:space="preserve">截至2026年9月11日，绿的谐波收盘价为280.66元，较52周高点回撤约43.4%，处于52周区间中下部。8月18日冲高后股价快速回落，9月7日反弹至294.96元后连续走弱，短期处于高波动回撤和弱势整理阶段。收盘价低于MA5、MA10及MA20，均线结构偏弱；RSI简化重算约为43，体现弱势修复但尚不足以确认趋势反转。股价位于估算布林中轨下方、下轨上方，280元附近及271.69元盘中低点构成当前支撑观察区域。资金方面，最近5个交易日主力资金合计净流出约1.99亿元，9月11日虽有游资净流入，但尚未形成量价共振的上行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292~300元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对应MA5、MA10约289元、9月7日至9月8日反弹高位约300元及近期成交密集区；若重新站上300元并伴随成交额放大，短线观察314~320元区域的修复空间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272~280元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280元附近为9月11日收盘区域，271.69元为当日盘中低点，Investing参考枢轴计算中的S3约为272.07元；若有效跌破271~272元，弱势结构可能进一步确认</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252~260元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接近近20日价格估算布林下轨约253元；若272元附近失守且成交量放大，股价可能向该区域寻找下一支撑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与资金结构的主观启发式权重，不是统计概率）：价格区间约272~300元。触发条件为守住272~280元支撑区，主力净流出不再连续扩大，成交额维持约10~18亿元近期常态区间，且无法有效突破300元。</w:t>
      </w:r>
    </w:p>
    <w:p>
      <w:pPr>
        <w:pStyle w:val="ListParagraph"/>
        <w:numPr>
          <w:ilvl w:val="0"/>
          <w:numId w:val="2"/>
        </w:numPr>
        <w:spacing w:after="80" w:line="280"/>
      </w:pPr>
      <w:r>
        <w:rPr>
          <w:sz w:val="22"/>
          <w:szCs w:val="22"/>
        </w:rPr>
        <w:t xml:space="preserve">偏弱下行（权重中等；为主观启发式判断，不是统计概率）：价格区间约252~272元。触发条件为收盘价有效跌破271~272元，同时单日成交额重新放大至18~20亿元以上，且主力资金继续明显净流出；重点观察“收盘确认+成交额放大”的组合，而非单纯盘中跌破。</w:t>
      </w:r>
    </w:p>
    <w:p>
      <w:pPr>
        <w:pStyle w:val="ListParagraph"/>
        <w:numPr>
          <w:ilvl w:val="0"/>
          <w:numId w:val="2"/>
        </w:numPr>
        <w:spacing w:after="80" w:line="280"/>
      </w:pPr>
      <w:r>
        <w:rPr>
          <w:sz w:val="22"/>
          <w:szCs w:val="22"/>
        </w:rPr>
        <w:t xml:space="preserve">反弹走强（权重偏低；为主观启发式判断，不是统计概率）：价格区间约300~315元。触发条件为重新站上300元并连续收盘保持在其上，同时成交额放大至20亿元以上，超大单与大单资金由净流出转为连续净流入；若条件满足，可观察314~315元附近前期反弹平台，但单日上涨不能单独确认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为14.86亿元，换手率为2.92%；最近5个交易日成交额区间约为8.23亿至27.75亿元，换手率区间约为1.57%至5.17%。截至2026年6月30日，股东总户数为70,639户，前十大股东持股比例为46.88%，前两大实际控制人合计持股34.60%；前十大股东中还包括香港中央结算有限公司、华夏中证机器人ETF、易方达国证机器人产业ETF、永赢先进制造智选混合发起A及工业母机产业投资基金等机构或通道资金。明确可识别的基金及私募类持股合计约3.76%，若将香港中央结算一并作为机构资金观察，则机构及通道资金影响更高。上述股东数据较9月11日行情滞后约两个多月，持仓结构可能已经变化；前十大股东持股比例已由2026年3月31日约50.33%降至6月30日46.88%。实际交易层面，2.92%的单日换手率不低，但低于8月18日、8月19日8.29%和8.49%的剧烈换手水平。对短线而言，前十大股东集中度较高意味着部分股份相对稳定，但可交易筹码仍可能受控股股东、香港中央结算及ETF调仓影响，不能据此推断股价必然稳定。</w:t>
      </w:r>
    </w:p>
    <w:p>
      <w:pPr>
        <w:spacing w:after="160" w:line="300"/>
      </w:pPr>
      <w:r>
        <w:rPr>
          <w:sz w:val="22"/>
          <w:szCs w:val="22"/>
        </w:rPr>
        <w:t xml:space="preserve">可检查的量价信号：若股价重新站上300元，且单日成交额连续放大至20亿元以上，同时主力资金由净流出转为净流入，可视为短线资金承接改善的观察信号；若跌破272元时成交额同步超过20亿元，则为下行压力增强的观察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观察272~280元支撑区能否守住，重点关注收盘价而非单纯盘中下探；以上为观察思路，非操作指令。</w:t>
      </w:r>
    </w:p>
    <w:p>
      <w:pPr>
        <w:pStyle w:val="ListParagraph"/>
        <w:numPr>
          <w:ilvl w:val="0"/>
          <w:numId w:val="2"/>
        </w:numPr>
        <w:spacing w:after="80" w:line="280"/>
      </w:pPr>
      <w:r>
        <w:rPr>
          <w:sz w:val="22"/>
          <w:szCs w:val="22"/>
        </w:rPr>
        <w:t xml:space="preserve">观察300元附近压力能否有效突破，突破时需结合成交额和主力资金是否同步改善；以上为观察思路，非操作指令。</w:t>
      </w:r>
    </w:p>
    <w:p>
      <w:pPr>
        <w:pStyle w:val="ListParagraph"/>
        <w:numPr>
          <w:ilvl w:val="0"/>
          <w:numId w:val="2"/>
        </w:numPr>
        <w:spacing w:after="80" w:line="280"/>
      </w:pPr>
      <w:r>
        <w:rPr>
          <w:sz w:val="22"/>
          <w:szCs w:val="22"/>
        </w:rPr>
        <w:t xml:space="preserve">观察成交额能否稳定回升至20亿元以上，以及超大单、大单资金是否停止连续净流出；以上为观察思路，非操作指令。</w:t>
      </w:r>
    </w:p>
    <w:p>
      <w:pPr>
        <w:pStyle w:val="ListParagraph"/>
        <w:numPr>
          <w:ilvl w:val="0"/>
          <w:numId w:val="2"/>
        </w:numPr>
        <w:spacing w:after="80" w:line="280"/>
      </w:pPr>
      <w:r>
        <w:rPr>
          <w:sz w:val="22"/>
          <w:szCs w:val="22"/>
        </w:rPr>
        <w:t xml:space="preserve">观察MACD弱势或负值状态是否出现拐点，以及RSI能否从弱势区间持续修复；以上为观察思路，非操作指令。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绿的谐波所属行业可归入精密传动、工业机器人核心零部件、机器人减速器、高端装备制造和具身智能机器人零部件。精密减速器主要包括谐波减速器和RV减速器；谐波减速器具有体积小、重量轻、结构紧凑、传动精度较高等特点，适合协作机器人、轻型工业机器人、服务机器人、半导体设备、医疗设备和具身智能机器人关节等场景。</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全球谐波减速器市场长期由日本哈默纳科（Harmonic Drive Systems）占据重要地位，其优势包括技术积累、高端客户认证经验、全球化服务网络、品牌和可靠性以及高端工业机器人客户黏性。</w:t>
      </w:r>
    </w:p>
    <w:p>
      <w:pPr>
        <w:pStyle w:val="ListParagraph"/>
        <w:numPr>
          <w:ilvl w:val="0"/>
          <w:numId w:val="2"/>
        </w:numPr>
        <w:spacing w:after="80" w:line="280"/>
      </w:pPr>
      <w:r>
        <w:rPr>
          <w:sz w:val="22"/>
          <w:szCs w:val="22"/>
        </w:rPr>
        <w:t xml:space="preserve">绿的谐波是中国少数具备规模化生产和国际化竞争能力的谐波减速器企业，主要通过国产化降低采购成本、缩短交付周期、提供本地化服务并依靠自主加工和批量生产提升性价比。</w:t>
      </w:r>
    </w:p>
    <w:p>
      <w:pPr>
        <w:pStyle w:val="ListParagraph"/>
        <w:numPr>
          <w:ilvl w:val="0"/>
          <w:numId w:val="2"/>
        </w:numPr>
        <w:spacing w:after="80" w:line="280"/>
      </w:pPr>
      <w:r>
        <w:rPr>
          <w:sz w:val="22"/>
          <w:szCs w:val="22"/>
        </w:rPr>
        <w:t xml:space="preserve">国内行业已从早期少数企业竞争逐步转向多家企业扩产和价格竞争并存；绿的谐波仍具备规模、技术和客户基础，但中低端及标准化产品领域的竞争可能加剧。</w:t>
      </w:r>
    </w:p>
    <w:p>
      <w:pPr>
        <w:pStyle w:val="ListParagraph"/>
        <w:numPr>
          <w:ilvl w:val="0"/>
          <w:numId w:val="2"/>
        </w:numPr>
        <w:spacing w:after="80" w:line="280"/>
      </w:pPr>
      <w:r>
        <w:rPr>
          <w:sz w:val="22"/>
          <w:szCs w:val="22"/>
        </w:rPr>
        <w:t xml:space="preserve">公司在监管问询回复中引用GGII统计数据披露，2021—2023年绿的谐波在中国机器人谐波减速器市场的份额分别约为24.52%、25.63%和20.27%。该数据属于第三方统计口径，且不同券商和行业研究机构可能采用销量、销售额或全球市场口径，不宜直接横向拼接。</w:t>
      </w:r>
    </w:p>
    <w:p>
      <w:pPr>
        <w:pStyle w:val="ListParagraph"/>
        <w:numPr>
          <w:ilvl w:val="0"/>
          <w:numId w:val="2"/>
        </w:numPr>
        <w:spacing w:after="80" w:line="280"/>
      </w:pPr>
      <w:r>
        <w:rPr>
          <w:sz w:val="22"/>
          <w:szCs w:val="22"/>
        </w:rPr>
        <w:t xml:space="preserve">行业下游覆盖工业机器人、协作机器人、服务机器人、具身智能机器人、数控机床、医疗设备、半导体设备和新能源装备，需求受制造业资本开支、宏观经济和客户量产节奏影响。</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哈默纳科（Harmonic Drive Systems，日本）</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全球谐波减速器龙头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在技术、品牌、高端客户认证、全球服务网络和高端应用影响力方面具有优势；绿的谐波在成本、交付和本地化服务方面具有相对优势。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日本新宝（Nabeya Bi-tech或相关精密传动企业）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日本精密传动和减速器企业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覆盖精密减速、传动和自动化部件，具备日本制造、精密加工和成熟客户合作优势；绿的谐波可能在本土化响应和成本方面更具优势。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中大力德（002896）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国内综合减速器和电机驱动企业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产品涵盖RV减速器、行星减速器、谐波减速器、电机和驱动系统，产品线较宽；绿的谐波在谐波减速器专业化、产品深度和规模化制造方面更突出。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丰立智能（301368）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精密齿轮、减速器及相关零部件企业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产品覆盖齿轮、减速器、谐波减速器、新能源传动部件和气动工具部件；其谐波减速器收入占整体业务比例较低，与绿的谐波相比专业化程度和规模存在差距。</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中技克美（871601，北交所/新三板体系企业）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专业谐波减速器企业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在航天、航空、能源、仪器仪表及军工相关领域具有一定应用经验，面向特殊环境和高可靠性场景；业务规模相较绿的谐波较小。</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浙江来福谐波</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专业谐波减速器企业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重点布局机器人和精密传动，属于直接谐波减速器竞争者之一。</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昊志机电</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电主轴、数控机床和精密传动企业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以电主轴、数控机床和精密传动为主，也布局谐波减速器，属于广义精密传动可比企业。</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大族精密传动</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依托激光和自动化装备产业链布局精密减速器的企业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与绿的谐波存在部分精密传动业务重合，但并非完全同质竞争。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同川科技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机器人核心零部件企业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聚焦精密减速器等机器人核心零部件，属于相关竞争者。</w:t>
            </w:r>
          </w:p>
        </w:tc>
      </w:tr>
    </w:tbl>
    <w:p>
      <w:pPr>
        <w:spacing w:before="200"/>
      </w:pPr>
    </w:p>
    <w:p>
      <w:pPr>
        <w:spacing w:after="160" w:line="300"/>
      </w:pPr>
      <w:r>
        <w:rPr>
          <w:sz w:val="22"/>
          <w:szCs w:val="22"/>
        </w:rPr>
        <w:t xml:space="preserve">绿的谐波的直接竞争重点是谐波减速器领域，竞争优势在于专业化产品能力、自主加工和完整制造链条、技术工艺积累、规模化生产以及本土化服务。哈默纳科等海外厂商在高端客户认证、品牌和全球服务方面更具优势；中大力德、丰立智能等国内企业则分别在综合传动产品线或精密齿轮及多场景布局方面具有特点。行业比较时应区分直接谐波减速器竞争对手与广义精密传动可比公司，不能将RV减速器、齿轮减速器和谐波减速器企业简单视为完全同质竞争者。</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具身智能及人形机器人业务仍处于产业化早期，订单规模、客户量产节奏和批量供应进度存在不确定性；若相关客户放量慢于预期，机构对2026—2028年业绩的预测可能难以兑现。</w:t>
      </w:r>
    </w:p>
    <w:p>
      <w:pPr>
        <w:pStyle w:val="ListParagraph"/>
        <w:numPr>
          <w:ilvl w:val="0"/>
          <w:numId w:val="2"/>
        </w:numPr>
        <w:spacing w:after="80" w:line="280"/>
      </w:pPr>
      <w:r>
        <w:rPr>
          <w:sz w:val="22"/>
          <w:szCs w:val="22"/>
        </w:rPr>
        <w:t xml:space="preserve">公司收入和利润仍主要依赖谐波减速器及金属件，2025年该业务收入约4.77亿元；行业已出现多家企业扩产和价格竞争，中低端及标准化产品可能面临客户年度降价、集中采购和毛利率继续承压。</w:t>
      </w:r>
    </w:p>
    <w:p>
      <w:pPr>
        <w:pStyle w:val="ListParagraph"/>
        <w:numPr>
          <w:ilvl w:val="0"/>
          <w:numId w:val="2"/>
        </w:numPr>
        <w:spacing w:after="80" w:line="280"/>
      </w:pPr>
      <w:r>
        <w:rPr>
          <w:sz w:val="22"/>
          <w:szCs w:val="22"/>
        </w:rPr>
        <w:t xml:space="preserve">2026年上半年综合毛利率为32.26%，同比下降约2.51个百分点；2025年整体毛利率约36.91%，较2021—2022年水平明显降低，产能爬坡、新产线折旧、研发投入、产品价格竞争和产能利用率不足可能继续压缩利润。</w:t>
      </w:r>
    </w:p>
    <w:p>
      <w:pPr>
        <w:pStyle w:val="ListParagraph"/>
        <w:numPr>
          <w:ilvl w:val="0"/>
          <w:numId w:val="2"/>
        </w:numPr>
        <w:spacing w:after="80" w:line="280"/>
      </w:pPr>
      <w:r>
        <w:rPr>
          <w:sz w:val="22"/>
          <w:szCs w:val="22"/>
        </w:rPr>
        <w:t xml:space="preserve">2026年上半年经营活动现金流量净额为-1741.57万元，而归母净利润为7010.92万元；公司2025年营运资金及部分客户结构数据尚未完成完整交叉核实，应收账款、存货和客户回款情况可能导致利润与现金流表现不匹配。</w:t>
      </w:r>
    </w:p>
    <w:p>
      <w:pPr>
        <w:pStyle w:val="ListParagraph"/>
        <w:numPr>
          <w:ilvl w:val="0"/>
          <w:numId w:val="2"/>
        </w:numPr>
        <w:spacing w:after="80" w:line="280"/>
      </w:pPr>
      <w:r>
        <w:rPr>
          <w:sz w:val="22"/>
          <w:szCs w:val="22"/>
        </w:rPr>
        <w:t xml:space="preserve">截至2024年末前五大客户销售额占比34.71%，第一大客户占比约9.06%；若具身智能机器人领域头部客户进入批量采购阶段，客户集中度可能阶段性上升，并增强下游客户对价格、交付和服务条件的谈判能力。</w:t>
      </w:r>
    </w:p>
    <w:p>
      <w:pPr>
        <w:pStyle w:val="ListParagraph"/>
        <w:numPr>
          <w:ilvl w:val="0"/>
          <w:numId w:val="2"/>
        </w:numPr>
        <w:spacing w:after="80" w:line="280"/>
      </w:pPr>
      <w:r>
        <w:rPr>
          <w:sz w:val="22"/>
          <w:szCs w:val="22"/>
        </w:rPr>
        <w:t xml:space="preserve">2025年谐波减速器产能约64万台、产量约43万台，产能利用率约68%；若下游需求释放不及预期，新增设备、厂房和相关固定成本可能形成折旧压力，影响单位成本和盈利水平。</w:t>
      </w:r>
    </w:p>
    <w:p>
      <w:pPr>
        <w:pStyle w:val="ListParagraph"/>
        <w:numPr>
          <w:ilvl w:val="0"/>
          <w:numId w:val="2"/>
        </w:numPr>
        <w:spacing w:after="80" w:line="280"/>
      </w:pPr>
      <w:r>
        <w:rPr>
          <w:sz w:val="22"/>
          <w:szCs w:val="22"/>
        </w:rPr>
        <w:t xml:space="preserve">募集资金投资项目“新一代精密传动装置智能制造项目”已延期，且截至2026年5月31日项目投入进度较低，可能推迟新增产能形成及募集资金转化为收入和利润的时间。</w:t>
      </w:r>
    </w:p>
    <w:p>
      <w:pPr>
        <w:pStyle w:val="ListParagraph"/>
        <w:numPr>
          <w:ilvl w:val="0"/>
          <w:numId w:val="2"/>
        </w:numPr>
        <w:spacing w:after="80" w:line="280"/>
      </w:pPr>
      <w:r>
        <w:rPr>
          <w:sz w:val="22"/>
          <w:szCs w:val="22"/>
        </w:rPr>
        <w:t xml:space="preserve">公司筹划发行H股并赴香港上市仍处于股东会审议和监管备案前阶段，发行规模、发行价格、发行时间及募集资金用途尚未确定，若议案未获通过或未取得相关监管批准，全球化布局和融资计划可能发生变化；若最终实施，也可能带来股本摊薄等影响。</w:t>
      </w:r>
    </w:p>
    <w:p>
      <w:pPr>
        <w:pStyle w:val="ListParagraph"/>
        <w:numPr>
          <w:ilvl w:val="0"/>
          <w:numId w:val="2"/>
        </w:numPr>
        <w:spacing w:after="80" w:line="280"/>
      </w:pPr>
      <w:r>
        <w:rPr>
          <w:sz w:val="22"/>
          <w:szCs w:val="22"/>
        </w:rPr>
        <w:t xml:space="preserve">截至2026年9月10日公司市盈率TTM约370倍，按机构平均预测计算的2026年动态PE约271.5倍，显著高于给定的通用设备制造业最近一个月平均滚动市盈率约41.85倍；若利润增长或具身智能业务兑现低于市场预期，存在较明显的估值回撤风险。</w:t>
      </w:r>
    </w:p>
    <w:p>
      <w:pPr>
        <w:pStyle w:val="ListParagraph"/>
        <w:numPr>
          <w:ilvl w:val="0"/>
          <w:numId w:val="2"/>
        </w:numPr>
        <w:spacing w:after="80" w:line="280"/>
      </w:pPr>
      <w:r>
        <w:rPr>
          <w:sz w:val="22"/>
          <w:szCs w:val="22"/>
        </w:rPr>
        <w:t xml:space="preserve">截至2026年9月11日股价较52周高点回撤约43.4%，收盘价低于MA5、MA10和MA20，近5个交易日主力资金合计净流出约1.99亿元；技术面弱势和资金流出可能放大短期价格波动，但相关技术指标和资金流口径本身存在滞后性及局限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核心增长逻辑在于工业机器人需求恢复、国内谐波减速器份额提升，以及具身智能机器人客户潜在放量；机电一体化、关节模组、执行器和其他新型传动产品则提供产品结构升级空间。2026年上半年收入和利润保持增长，表明出货量与产能扩张已产生一定效果，若后续客户量产节奏兑现并提高产能利用率，规模效应和高附加值产品占比提升可能改善盈利能力。</w:t>
      </w:r>
    </w:p>
    <w:p>
      <w:pPr>
        <w:spacing w:after="160" w:line="300"/>
      </w:pPr>
      <w:r>
        <w:rPr>
          <w:sz w:val="22"/>
          <w:szCs w:val="22"/>
        </w:rPr>
        <w:t xml:space="preserve">当前业绩改善仍伴随毛利率下行、经营现金流为负和募投项目延期等问题，盈利质量、产能建设进度及新增产能转化效率需要持续验证。公司前五大客户销售额占2024年销售总额34.71%，高于前五大供应商采购额占比20.03%；若具身智能领域头部客户进入批量采购阶段，客户集中度和议价压力可能阶段性上升。</w:t>
      </w:r>
    </w:p>
    <w:p>
      <w:pPr>
        <w:spacing w:after="160" w:line="300"/>
      </w:pPr>
      <w:r>
        <w:rPr>
          <w:sz w:val="22"/>
          <w:szCs w:val="22"/>
        </w:rPr>
        <w:t xml:space="preserve">后续观察重点包括2026年第三季度业绩表现、具身智能及工业机器人客户订单放量、毛利率能否止跌回升、经营现金流和应收账款状况、募投项目延期后的建设进度，以及H股上市议案的股东会审议和监管备案结果。公司当前估值和股价波动均处于较高水平，市场对未来利润兑现已有较高预期，实际业绩若低于预期，估值消化过程可能加剧股价波动。</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绿的谐波(688017)_公司公告_绿的谐波：2026年半年度报告新浪财经_新浪网 — https://vip.stock.finance.sina.com.cn/corp/view/vCB_AllBulletinDetail.php?id=12552650&amp;stockid=688017&amp;utm_source=openai</w:t>
      </w:r>
    </w:p>
    <w:p>
      <w:pPr>
        <w:spacing w:after="200"/>
      </w:pPr>
      <w:r>
        <w:rPr>
          <w:i/>
          <w:iCs/>
          <w:color w:val="595959"/>
          <w:sz w:val="18"/>
          <w:szCs w:val="18"/>
        </w:rPr>
        <w:t xml:space="preserve">绿的谐波(688017)_公司公告_绿的谐波：2026年半年度报告摘要新浪财经_新浪网 — https://money.finance.sina.com.cn/corp/view/vCB_AllBulletinDetail.php?id=12552655&amp;stockid=688017&amp;utm_source=openai</w:t>
      </w:r>
    </w:p>
    <w:p>
      <w:pPr>
        <w:spacing w:after="200"/>
      </w:pPr>
      <w:r>
        <w:rPr>
          <w:i/>
          <w:iCs/>
          <w:color w:val="595959"/>
          <w:sz w:val="18"/>
          <w:szCs w:val="18"/>
        </w:rPr>
        <w:t xml:space="preserve">绿的谐波：2026年上半年净利润7010.92万元 同比增长31.25% _ 东方财富网 — https://wap.eastmoney.com/a/202608273856069717.html?utm_source=openai</w:t>
      </w:r>
    </w:p>
    <w:p>
      <w:pPr>
        <w:spacing w:after="200"/>
      </w:pPr>
      <w:r>
        <w:rPr>
          <w:i/>
          <w:iCs/>
          <w:color w:val="595959"/>
          <w:sz w:val="18"/>
          <w:szCs w:val="18"/>
        </w:rPr>
        <w:t xml:space="preserve">绿的谐波(688017) 盈利预测_F10_同花顺金融服务网 — https://basic.10jqka.com.cn/48/688017/worth.html?utm_source=openai</w:t>
      </w:r>
    </w:p>
    <w:p>
      <w:pPr>
        <w:spacing w:after="200"/>
      </w:pPr>
      <w:r>
        <w:rPr>
          <w:i/>
          <w:iCs/>
          <w:color w:val="595959"/>
          <w:sz w:val="18"/>
          <w:szCs w:val="18"/>
        </w:rPr>
        <w:t xml:space="preserve">绿的谐波(688017)_公司公告_绿的谐波：2025年年度报告新浪财经_新浪网 — https://vip.stock.finance.sina.com.cn/corp/view/vCB_AllBulletinDetail.php?id=12146041&amp;stockid=688017&amp;utm_source=openai</w:t>
      </w:r>
    </w:p>
    <w:p>
      <w:pPr>
        <w:spacing w:after="200"/>
      </w:pPr>
      <w:r>
        <w:rPr>
          <w:i/>
          <w:iCs/>
          <w:color w:val="595959"/>
          <w:sz w:val="18"/>
          <w:szCs w:val="18"/>
        </w:rPr>
        <w:t xml:space="preserve">2025年年报及2026年一季报点评：战略卡位具身智能，营收净利表现亮眼- 宏观研究报告 _ 数据中心 _ 东方财富网 — https://data.eastmoney.com/report/info/AP202604291821759233.html?utm_source=openai</w:t>
      </w:r>
    </w:p>
    <w:p>
      <w:pPr>
        <w:spacing w:after="200"/>
      </w:pPr>
      <w:r>
        <w:rPr>
          <w:i/>
          <w:iCs/>
          <w:color w:val="595959"/>
          <w:sz w:val="18"/>
          <w:szCs w:val="18"/>
        </w:rPr>
        <w:t xml:space="preserve">2026年半年报点评：深耕具身智能，营收净利双增- 宏观研究报告 _ 数据中心 _ 东方财富网 — https://data.eastmoney.com/report/info/AP202609021828901486.html?utm_source=openai</w:t>
      </w:r>
    </w:p>
    <w:p>
      <w:pPr>
        <w:spacing w:after="200"/>
      </w:pPr>
      <w:r>
        <w:rPr>
          <w:i/>
          <w:iCs/>
          <w:color w:val="595959"/>
          <w:sz w:val="18"/>
          <w:szCs w:val="18"/>
        </w:rPr>
        <w:t xml:space="preserve">绿的谐波(688017)2025年报点评：业绩高增长 工业机器人行业地位稳固 具身智能打开新成长空间__新浪财经_新浪网 — https://stock.finance.sina.com.cn/stock/go.php/vReport_Show/kind/lastest/rptid/830934780327/index.phtml?utm_source=openai</w:t>
      </w:r>
    </w:p>
    <w:p>
      <w:pPr>
        <w:spacing w:after="200"/>
      </w:pPr>
      <w:r>
        <w:rPr>
          <w:i/>
          <w:iCs/>
          <w:color w:val="595959"/>
          <w:sz w:val="18"/>
          <w:szCs w:val="18"/>
        </w:rPr>
        <w:t xml:space="preserve">国信证券-绿的谐波(688017)2026年一季度业绩快速增长，人形机器人优势持续巩固-260526.pdf — https://pdf.dfcfw.com/pdf/H3_AP202605261822876254_1.pdf?1779807069000.pdf=&amp;utm_source=openai</w:t>
      </w:r>
    </w:p>
    <w:p>
      <w:pPr>
        <w:spacing w:after="200"/>
      </w:pPr>
      <w:r>
        <w:rPr>
          <w:i/>
          <w:iCs/>
          <w:color w:val="595959"/>
          <w:sz w:val="18"/>
          <w:szCs w:val="18"/>
        </w:rPr>
        <w:t xml:space="preserve">机构评级|中金公司给予绿的谐波“跑赢行业”评级 — https://stock.10jqka.com.cn/20260805/c678694636.shtml?utm_source=openai</w:t>
      </w:r>
    </w:p>
    <w:p>
      <w:pPr>
        <w:spacing w:after="200"/>
      </w:pPr>
      <w:r>
        <w:rPr>
          <w:i/>
          <w:iCs/>
          <w:color w:val="595959"/>
          <w:sz w:val="18"/>
          <w:szCs w:val="18"/>
        </w:rPr>
        <w:t xml:space="preserve">绿的谐波(688017)股票历史数据:历史行情,价格,走势图表_英为财情Investing.com — https://cn.investing.com/equities/leader-harmonious-drive-systems-historical-data?utm_source=openai</w:t>
      </w:r>
    </w:p>
    <w:p>
      <w:pPr>
        <w:spacing w:after="200"/>
      </w:pPr>
      <w:r>
        <w:rPr>
          <w:i/>
          <w:iCs/>
          <w:color w:val="595959"/>
          <w:sz w:val="18"/>
          <w:szCs w:val="18"/>
        </w:rPr>
        <w:t xml:space="preserve">绿的谐波 274.22 -3.81%(-10.86)股票价格-行情-走势图-行情-金融界 — https://itougu.com.cn/stock/sh/688017?utm_source=openai</w:t>
      </w:r>
    </w:p>
    <w:p>
      <w:pPr>
        <w:spacing w:after="200"/>
      </w:pPr>
      <w:r>
        <w:rPr>
          <w:i/>
          <w:iCs/>
          <w:color w:val="595959"/>
          <w:sz w:val="18"/>
          <w:szCs w:val="18"/>
        </w:rPr>
        <w:t xml:space="preserve">证券代码：688017  证券简称：绿的谐波  公告编号：2026-019 — https://static.cninfo.com.cn/finalpage/2026-07-01/1225400344.PDF?utm_source=openai</w:t>
      </w:r>
    </w:p>
    <w:p>
      <w:pPr>
        <w:spacing w:after="200"/>
      </w:pPr>
      <w:r>
        <w:rPr>
          <w:i/>
          <w:iCs/>
          <w:color w:val="595959"/>
          <w:sz w:val="18"/>
          <w:szCs w:val="18"/>
        </w:rPr>
        <w:t xml:space="preserve">绿的谐波(688017)_公司公告_绿的谐波：2026年半年度报告新浪财经_新浪网 — https://money.finance.sina.com.cn/corp/view/vCB_AllBulletinDetail.php?id=12552650&amp;stockid=688017&amp;utm_source=openai</w:t>
      </w:r>
    </w:p>
    <w:p>
      <w:pPr>
        <w:spacing w:after="200"/>
      </w:pPr>
      <w:r>
        <w:rPr>
          <w:i/>
          <w:iCs/>
          <w:color w:val="595959"/>
          <w:sz w:val="18"/>
          <w:szCs w:val="18"/>
        </w:rPr>
        <w:t xml:space="preserve">苏州绿的谐波传动科技股份有限公司|上海证券报 — https://paper.cnstock.com/html/2026-08/27/content_2261086.htm?utm_source=openai</w:t>
      </w:r>
    </w:p>
    <w:p>
      <w:pPr>
        <w:spacing w:after="200"/>
      </w:pPr>
      <w:r>
        <w:rPr>
          <w:i/>
          <w:iCs/>
          <w:color w:val="595959"/>
          <w:sz w:val="18"/>
          <w:szCs w:val="18"/>
        </w:rPr>
        <w:t xml:space="preserve">绿的谐波(688017)公司公告_新浪财经_新浪网 — https://money.finance.sina.com.cn/corp/go.php/vCB_AllBulletin/stockid/688017.phtml?ftype=lsgg&amp;utm_source=openai</w:t>
      </w:r>
    </w:p>
    <w:p>
      <w:pPr>
        <w:spacing w:after="200"/>
      </w:pPr>
      <w:r>
        <w:rPr>
          <w:i/>
          <w:iCs/>
          <w:color w:val="595959"/>
          <w:sz w:val="18"/>
          <w:szCs w:val="18"/>
        </w:rPr>
        <w:t xml:space="preserve">中国证券报 - 苏州绿的谐波传动科技股份有限公司&lt;BR/&gt;关于募集资金投资项目延期的公告 — https://epaper.cs.com.cn/zgzqb/html/2026-07/10/nw.D110000zgzqb_20260710_2-B048.htm?utm_source=openai</w:t>
      </w:r>
    </w:p>
    <w:p>
      <w:pPr>
        <w:spacing w:after="200"/>
      </w:pPr>
      <w:r>
        <w:rPr>
          <w:i/>
          <w:iCs/>
          <w:color w:val="595959"/>
          <w:sz w:val="18"/>
          <w:szCs w:val="18"/>
        </w:rPr>
        <w:t xml:space="preserve">绿的谐波_ 个股日历 _ 东方财富网_ 数据频道 — https://data.eastmoney.com/stockcalendar/688017.html?utm_source=openai</w:t>
      </w:r>
    </w:p>
    <w:p>
      <w:pPr>
        <w:spacing w:after="200"/>
      </w:pPr>
      <w:r>
        <w:rPr>
          <w:i/>
          <w:iCs/>
          <w:color w:val="595959"/>
          <w:sz w:val="18"/>
          <w:szCs w:val="18"/>
        </w:rPr>
        <w:t xml:space="preserve">证券代码：688017 — https://star.sse.com.cn/disclosure/listedinfo/announcement/c/new/2026-06-09/688017_20260609_MZU2.pdf?utm_source=openai</w:t>
      </w:r>
    </w:p>
    <w:p>
      <w:pPr>
        <w:spacing w:after="200"/>
      </w:pPr>
      <w:r>
        <w:rPr>
          <w:i/>
          <w:iCs/>
          <w:color w:val="595959"/>
          <w:sz w:val="18"/>
          <w:szCs w:val="18"/>
        </w:rPr>
        <w:t xml:space="preserve">绿的谐波(688017)_公司公告_绿的谐波：2026年半年度报告摘要新浪财经_新浪网 — https://vip.stock.finance.sina.com.cn/corp/view/vCB_AllBulletinDetail.php?id=12552655&amp;stockid=688017</w:t>
      </w:r>
    </w:p>
    <w:p>
      <w:pPr>
        <w:spacing w:after="200"/>
      </w:pPr>
      <w:r>
        <w:rPr>
          <w:i/>
          <w:iCs/>
          <w:color w:val="595959"/>
          <w:sz w:val="18"/>
          <w:szCs w:val="18"/>
        </w:rPr>
        <w:t xml:space="preserve">绿的谐波 (688017) - 历史交易数据 | 打板客网 — https://dabanke.com/hangqing-688017.html</w:t>
      </w:r>
    </w:p>
    <w:p>
      <w:pPr>
        <w:spacing w:after="200"/>
      </w:pPr>
      <w:r>
        <w:rPr>
          <w:i/>
          <w:iCs/>
          <w:color w:val="595959"/>
          <w:sz w:val="18"/>
          <w:szCs w:val="18"/>
        </w:rPr>
        <w:t xml:space="preserve">绿的谐波(688017)股票最新价格行情,实时走势图,股价分析预测_英为财情Investing.com — https://cn.investing.com/equities/leader-harmonious-drive-systems</w:t>
      </w:r>
    </w:p>
    <w:p>
      <w:pPr>
        <w:spacing w:after="200"/>
      </w:pPr>
      <w:r>
        <w:rPr>
          <w:i/>
          <w:iCs/>
          <w:color w:val="595959"/>
          <w:sz w:val="18"/>
          <w:szCs w:val="18"/>
        </w:rPr>
        <w:t xml:space="preserve">绿的谐波(688017)股票行情走势技术分析_未来预测_买卖操作建议_英为财情Investing.com — https://cn.investing.com/equities/leader-harmonious-drive-systems-technical</w:t>
      </w:r>
    </w:p>
    <w:p>
      <w:pPr>
        <w:spacing w:after="200"/>
      </w:pPr>
      <w:r>
        <w:rPr>
          <w:i/>
          <w:iCs/>
          <w:color w:val="595959"/>
          <w:sz w:val="18"/>
          <w:szCs w:val="18"/>
        </w:rPr>
        <w:t xml:space="preserve">股票行情快报：绿的谐波（688017）9月11日主力资金净卖出1.43亿元_主力研究_股票_证券之星 — https://4g.stockstar.com/detail/RB2026091100044778</w:t>
      </w:r>
    </w:p>
    <w:p>
      <w:pPr>
        <w:spacing w:after="200"/>
      </w:pPr>
      <w:r>
        <w:rPr>
          <w:i/>
          <w:iCs/>
          <w:color w:val="595959"/>
          <w:sz w:val="18"/>
          <w:szCs w:val="18"/>
        </w:rPr>
        <w:t xml:space="preserve">绿的谐波(688017)_资金流向_证券之星 — https://stock.quote.stockstar.com/capital_688017.shtml</w:t>
      </w:r>
    </w:p>
    <w:p>
      <w:pPr>
        <w:spacing w:after="200"/>
      </w:pPr>
      <w:r>
        <w:rPr>
          <w:i/>
          <w:iCs/>
          <w:color w:val="595959"/>
          <w:sz w:val="18"/>
          <w:szCs w:val="18"/>
        </w:rPr>
        <w:t xml:space="preserve">本报告由AI基于公开渠道信息自动检索、整理并生成，信息截至 截至2026年9月11日收盘；股东结构数据截至2026年6月30日，MACD及部分RSI参考数据截至2026年9月4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2026-09-13T13:35:39.050Z</dcterms:created>
  <dcterms:modified xsi:type="dcterms:W3CDTF">2026-09-13T13:35:39.050Z</dcterms:modified>
</cp:coreProperties>
</file>

<file path=docProps/custom.xml><?xml version="1.0" encoding="utf-8"?>
<Properties xmlns="http://schemas.openxmlformats.org/officeDocument/2006/custom-properties" xmlns:vt="http://schemas.openxmlformats.org/officeDocument/2006/docPropsVTypes"/>
</file>