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西部超导材料科技股份有限公司 (688122)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行业：高端新材料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截至2026年9月11日收盘；部分技术指标数据截至2026年9月10日。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西部超导2026年上半年经营承压：实现营业收入26.12亿元，同比下降4.07%；归母净利润3.45亿元，同比下降36.77%；扣非归母净利润1.56亿元，同比下降68.42%；经营活动现金流量净额为-1.34亿元。同期公允价值变动收益约2.06亿元，非经常性损益合计约1.89亿元，表面归母净利润与主营盈利表现存在明显差异。</w:t>
      </w:r>
    </w:p>
    <w:p>
      <w:pPr>
        <w:spacing w:after="160" w:line="300"/>
      </w:pPr>
      <w:r>
        <w:rPr>
          <w:sz w:val="22"/>
          <w:szCs w:val="22"/>
        </w:rPr>
        <w:t xml:space="preserve">公司主营超导产品、高端钛合金和高性能高温合金，具备超导线材及磁体全流程制造能力，并依靠牌号工艺、客户认证和研发平台形成技术壁垒。2025年三项主营业务收入合计49.64亿元，同比增长13.26%，其中超导产品收入15.99亿元、高端钛合金收入27.93亿元、高性能高温合金收入5.71亿元；但2026年上半年高端钛合金收入同比下降23.44%，超导产品收入同比下降6.96%，高温合金收入同比增长117.79%，业务结构正在调整。</w:t>
      </w:r>
    </w:p>
    <w:p>
      <w:pPr>
        <w:spacing w:after="160" w:line="300"/>
      </w:pPr>
      <w:r>
        <w:rPr>
          <w:sz w:val="22"/>
          <w:szCs w:val="22"/>
        </w:rPr>
        <w:t xml:space="preserve">公司增长逻辑主要来自航空钛合金和高温合金型号批产、超导磁体在MCZ单晶硅及核聚变等场景的应用拓展，以及高温超导产品的产业化。公司已披露完成ITER供货任务，MCZ超导磁体已实现批量供应客户；控股子公司聚能磁体申请北交所上市已获受理，但相关审核、整改及上市结果仍存在不确定性。</w:t>
      </w:r>
    </w:p>
    <w:p>
      <w:pPr>
        <w:spacing w:after="160" w:line="300"/>
      </w:pPr>
      <w:r>
        <w:rPr>
          <w:sz w:val="22"/>
          <w:szCs w:val="22"/>
        </w:rPr>
        <w:t xml:space="preserve">截至2026年9月11日，公司股价为51.57元，动态市盈率约52.48倍，处于历史较高估值区域；短期股价已站上MA5、MA10、MA20和MA50，但接近估算布林上轨52.3至52.8元，中长期均线仍未形成全面转强结构。市场估值较大程度上反映了未来盈利修复及高温合金、超导业务增长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688122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西部超导</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注册地址及主要办公地点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陕西省西安市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西北有色金属研究院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陕西省财政厅</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超导产品、高端钛合金材料和高性能高温合金材料及应用的研发、生产和销售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所属国民经济行业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有色金属冶炼和压延加工业中的有色金属合金制造（C3240）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46.12亿元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8.01亿元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2025年三项主营业务收入合计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49.64亿元，同比增长13.26%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资源储备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公司不是矿山或资源型企业，没有海绵钛、铌矿、镍矿等自有矿产资源储量；核心资源体现为全流程工艺、牌号及工艺数据库、客户认证和研发平台</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超导产品：包括NbTi铌钛铸锭、棒材及超导线材、Nb3Sn铌三锡超导线材、MgB2高温超导线材和超导磁体，应用于磁控直拉单晶硅、核聚变、高能加速器、MRI及科研磁体等领域。公司披露已实现NbTi铸锭、棒材、超导线材及超导磁体全流程生产；2024年开始为BEST聚变项目批量供货，并实现300毫米磁控直拉电子级单晶硅用超导磁体年交付超过100台</w:t>
      </w:r>
    </w:p>
    <w:p>
      <w:pPr>
        <w:pStyle w:val="ListParagraph"/>
        <w:numPr>
          <w:ilvl w:val="0"/>
          <w:numId w:val="2"/>
        </w:numPr>
        <w:spacing w:after="80" w:line="280"/>
      </w:pPr>
      <w:r>
        <w:rPr>
          <w:sz w:val="22"/>
          <w:szCs w:val="22"/>
        </w:rPr>
        <w:t xml:space="preserve">高端钛合金材料：包括大棒材、小棒材、丝材、锻坯等，主要面向飞机结构件、航空紧固件、航空发动机部件、直升机、无人机、大型客机、舰船、兵器、核工业及部分民用高端装备。代表性牌号包括TC4、TC11、TA15、TC21、Ti45Nb等</w:t>
      </w:r>
    </w:p>
    <w:p>
      <w:pPr>
        <w:pStyle w:val="ListParagraph"/>
        <w:numPr>
          <w:ilvl w:val="0"/>
          <w:numId w:val="2"/>
        </w:numPr>
        <w:spacing w:after="80" w:line="280"/>
      </w:pPr>
      <w:r>
        <w:rPr>
          <w:sz w:val="22"/>
          <w:szCs w:val="22"/>
        </w:rPr>
        <w:t xml:space="preserve">高性能高温合金材料：包括变形高温合金、高温合金母合金及相关特殊钢材料，主要用于航空发动机燃烧室、涡轮盘、导向叶片、涡轮叶片、燃气轮机、超超临界火电设备及航天装备等高温高应力场景</w:t>
      </w:r>
    </w:p>
    <w:p>
      <w:pPr>
        <w:pStyle w:val="ListParagraph"/>
        <w:numPr>
          <w:ilvl w:val="0"/>
          <w:numId w:val="2"/>
        </w:numPr>
        <w:spacing w:after="80" w:line="280"/>
      </w:pPr>
      <w:r>
        <w:rPr>
          <w:sz w:val="22"/>
          <w:szCs w:val="22"/>
        </w:rPr>
        <w:t xml:space="preserve">2024年三项主营业务收入合计43.83亿元；其中高端钛合金材料收入27.52亿元、超导产品收入13.04亿元、高性能高温合金材料收入3.27亿元</w:t>
      </w:r>
    </w:p>
    <w:p>
      <w:pPr>
        <w:pStyle w:val="ListParagraph"/>
        <w:numPr>
          <w:ilvl w:val="0"/>
          <w:numId w:val="2"/>
        </w:numPr>
        <w:spacing w:after="80" w:line="280"/>
      </w:pPr>
      <w:r>
        <w:rPr>
          <w:sz w:val="22"/>
          <w:szCs w:val="22"/>
        </w:rPr>
        <w:t xml:space="preserve">2025年高端钛合金材料收入27.93亿元，超导产品收入15.99亿元，高性能高温合金材料收入5.71亿元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西部超导处于高端新材料产业链中游偏上位置，属于“高技术材料加工+型号认证+专用装备应用”型企业。公司上游依赖海绵钛、铌、镍、无氧铜及中间合金等原材料，下游连接航空工业、中国航发、核聚变、大科学工程、MRI和高端装备客户，主要通过技术积累、客户认证和全流程制造能力获得技术溢价。</w:t>
      </w:r>
    </w:p>
    <w:p>
      <w:pPr>
        <w:pStyle w:val="ListParagraph"/>
        <w:numPr>
          <w:ilvl w:val="0"/>
          <w:numId w:val="2"/>
        </w:numPr>
        <w:spacing w:after="80" w:line="280"/>
      </w:pPr>
      <w:r>
        <w:rPr>
          <w:sz w:val="22"/>
          <w:szCs w:val="22"/>
        </w:rPr>
        <w:t xml:space="preserve">高端钛合金主要采购海绵钛、钛铸锭及中间合金；超导产品主要采购铌锭、无氧铜、镁及相关中间材料；高温合金主要采购镍、钴、铬、钼等合金元素及中间合金，此外还采购返回料、特殊钢及其他辅助材料。</w:t>
      </w:r>
    </w:p>
    <w:p>
      <w:pPr>
        <w:pStyle w:val="ListParagraph"/>
        <w:numPr>
          <w:ilvl w:val="0"/>
          <w:numId w:val="2"/>
        </w:numPr>
        <w:spacing w:after="80" w:line="280"/>
      </w:pPr>
      <w:r>
        <w:rPr>
          <w:sz w:val="22"/>
          <w:szCs w:val="22"/>
        </w:rPr>
        <w:t xml:space="preserve">公司主要采取持续分批采购方式，并与部分规模较大的供应商签订长期采购协议。</w:t>
      </w:r>
    </w:p>
    <w:p>
      <w:pPr>
        <w:pStyle w:val="ListParagraph"/>
        <w:numPr>
          <w:ilvl w:val="0"/>
          <w:numId w:val="2"/>
        </w:numPr>
        <w:spacing w:after="80" w:line="280"/>
      </w:pPr>
      <w:r>
        <w:rPr>
          <w:sz w:val="22"/>
          <w:szCs w:val="22"/>
        </w:rPr>
        <w:t xml:space="preserve">2024年前五大供应商采购额为10.20亿元，占年度采购总额35.91%；不存在单一供应商采购额超过50%的情况，但年报提示主要原材料供应商相对集中。</w:t>
      </w:r>
    </w:p>
    <w:p>
      <w:pPr>
        <w:pStyle w:val="ListParagraph"/>
        <w:numPr>
          <w:ilvl w:val="0"/>
          <w:numId w:val="2"/>
        </w:numPr>
        <w:spacing w:after="80" w:line="280"/>
      </w:pPr>
      <w:r>
        <w:rPr>
          <w:sz w:val="22"/>
          <w:szCs w:val="22"/>
        </w:rPr>
        <w:t xml:space="preserve">2024年主营业务成本中原材料成本占比约70.01%；按产品看，高端钛合金、超导产品和高性能高温合金的原材料成本占各产品成本比例分别为64.27%、78.44%和77.99%。</w:t>
      </w:r>
    </w:p>
    <w:p>
      <w:pPr>
        <w:pStyle w:val="ListParagraph"/>
        <w:numPr>
          <w:ilvl w:val="0"/>
          <w:numId w:val="2"/>
        </w:numPr>
        <w:spacing w:after="80" w:line="280"/>
      </w:pPr>
      <w:r>
        <w:rPr>
          <w:sz w:val="22"/>
          <w:szCs w:val="22"/>
        </w:rPr>
        <w:t xml:space="preserve">公司对海绵钛、铌、镍、无氧铜等大宗金属原材料不具备完全定价权，更接近“技术溢价加工商”；利润改善主要依靠牌号升级、工艺良率提升、规模效应和客户认证，而非控制矿产资源。</w:t>
      </w:r>
    </w:p>
    <w:p>
      <w:pPr>
        <w:pStyle w:val="ListParagraph"/>
        <w:numPr>
          <w:ilvl w:val="0"/>
          <w:numId w:val="2"/>
        </w:numPr>
        <w:spacing w:after="80" w:line="280"/>
      </w:pPr>
      <w:r>
        <w:rPr>
          <w:sz w:val="22"/>
          <w:szCs w:val="22"/>
        </w:rPr>
        <w:t xml:space="preserve">下游客户主要包括中国航空工业集团及其下属单位、中国航发及航空发动机产业链客户、中国船舶、中国兵器、中国核工业等军工集团，以及核聚变、大科学工程、MRI、单晶硅设备、加速器和GE、Siemens等国际客户。</w:t>
      </w:r>
    </w:p>
    <w:p>
      <w:pPr>
        <w:pStyle w:val="ListParagraph"/>
        <w:numPr>
          <w:ilvl w:val="0"/>
          <w:numId w:val="2"/>
        </w:numPr>
        <w:spacing w:after="80" w:line="280"/>
      </w:pPr>
      <w:r>
        <w:rPr>
          <w:sz w:val="22"/>
          <w:szCs w:val="22"/>
        </w:rPr>
        <w:t xml:space="preserve">2024年前五大客户销售额为28.92亿元，占年度销售总额62.70%；第一大客户占比26.91%，第二大客户占比12.12%。上述数据来自公司2024年年度报告，客户名称匿名披露，且目前主要为单一年报数据，跨年度变化尚未交叉核实，具体以最新年报为准。</w:t>
      </w:r>
    </w:p>
    <w:p>
      <w:pPr>
        <w:pStyle w:val="ListParagraph"/>
        <w:numPr>
          <w:ilvl w:val="0"/>
          <w:numId w:val="2"/>
        </w:numPr>
        <w:spacing w:after="80" w:line="280"/>
      </w:pPr>
      <w:r>
        <w:rPr>
          <w:sz w:val="22"/>
          <w:szCs w:val="22"/>
        </w:rPr>
        <w:t xml:space="preserve">航空钛合金和高温合金客户认证周期长、技术标准高，进入具体型号供应体系后替换成本较高，公司在已认证产品上具备一定技术壁垒；但航空及军工客户集中度较高，采购计划、型号进度和验收节奏会影响收入确认和回款，公司并不具备对所有客户的强定价权。</w:t>
      </w:r>
    </w:p>
    <w:p>
      <w:pPr>
        <w:pStyle w:val="ListParagraph"/>
        <w:numPr>
          <w:ilvl w:val="0"/>
          <w:numId w:val="2"/>
        </w:numPr>
        <w:spacing w:after="80" w:line="280"/>
      </w:pPr>
      <w:r>
        <w:rPr>
          <w:sz w:val="22"/>
          <w:szCs w:val="22"/>
        </w:rPr>
        <w:t xml:space="preserve">超导磁体属于非标定制产品，需要客户测试确认后批量供货，单个项目订单波动可能较大；公司主要采取直销模式，减少中间环节，但需直接承担客户认证、交付、回款和售后服务压力。</w:t>
      </w:r>
    </w:p>
    <w:p>
      <w:pPr>
        <w:pStyle w:val="ListParagraph"/>
        <w:numPr>
          <w:ilvl w:val="0"/>
          <w:numId w:val="2"/>
        </w:numPr>
        <w:spacing w:after="80" w:line="280"/>
      </w:pPr>
      <w:r>
        <w:rPr>
          <w:sz w:val="22"/>
          <w:szCs w:val="22"/>
        </w:rPr>
        <w:t xml:space="preserve">公司在航空钛合金和高温合金领域的竞争优势主要来自客户认证、长期研发和型号供货资格；超导业务的竞争优势主要来自NbTi铸锭—棒材—线材—磁体全流程能力及项目交付经验。</w:t>
      </w:r>
    </w:p>
    <w:p>
      <w:pPr>
        <w:pStyle w:val="ListParagraph"/>
        <w:numPr>
          <w:ilvl w:val="0"/>
          <w:numId w:val="2"/>
        </w:numPr>
        <w:spacing w:after="80" w:line="280"/>
      </w:pPr>
      <w:r>
        <w:rPr>
          <w:sz w:val="22"/>
          <w:szCs w:val="22"/>
        </w:rPr>
        <w:t xml:space="preserve">截至2024年12月31日，应收账款27.10亿元，占总资产19.91%，同比增长31.60%，相当于2024年归母净利润约3.4倍。纪要称其相当于2024年营业收入约5.88%，但该比例与应收账款27.10亿元、营业收入46.12亿元的金额存在口径或计算不一致，需进一步核实。同期应付账款为18.65亿元，占总资产13.70%，同比增长56.63%。应收账款规模明显高于应付账款且增速较快；公司年报称航空材料研发、验证和生产周期较长，回款周期较长，且大部分结算方式采用承兑汇票，显示公司对下游存在较明显资金占用，实际议价能力并非完全强势。</w:t>
      </w:r>
    </w:p>
    <w:p>
      <w:pPr>
        <w:pStyle w:val="ListParagraph"/>
        <w:numPr>
          <w:ilvl w:val="0"/>
          <w:numId w:val="2"/>
        </w:numPr>
        <w:spacing w:after="80" w:line="280"/>
      </w:pPr>
      <w:r>
        <w:rPr>
          <w:sz w:val="22"/>
          <w:szCs w:val="22"/>
        </w:rPr>
        <w:t xml:space="preserve">供应端：2024年前五大供应商采购额占年度采购总额35.91%，不存在单一供应商采购额超过50%的情况，但供应商相对集中。客户端：2024年前五大客户销售额占年度销售总额62.70%，第一大客户占比26.91%，第二大客户占比12.12%；客户名称匿名披露，且该数据主要来自2024年单一年报，跨年度变化未能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39.45%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25.91%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高端钛合金业务规模较大，超导产品放量并形成规模效应；但海绵钛等原材料价格上涨，对钛合金毛利率形成压力。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18.38%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高端钛合金收入下降、产品结构变化且成本增速高于收入增速；高温合金仍处于放量和认证阶段，整体利润贡献有限。</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33.55%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约18.99%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高端钛合金收入恢复增长，毛利率升至38.67%；超导产品快速放量但受材料成本和产品结构变化影响，毛利率降至30.22%；高温合金收入下降但毛利率升至22.25%。</w:t>
            </w:r>
          </w:p>
        </w:tc>
      </w:tr>
    </w:tbl>
    <w:p>
      <w:pPr>
        <w:spacing w:before="200"/>
      </w:pPr>
    </w:p>
    <w:p>
      <w:pPr>
        <w:spacing w:after="160" w:line="300"/>
      </w:pPr>
      <w:r>
        <w:rPr>
          <w:sz w:val="22"/>
          <w:szCs w:val="22"/>
        </w:rPr>
        <w:t xml:space="preserve">公司位于高端新材料产业链中游偏上，并非掌握矿产资源的上游资源型企业，也不是依靠终端品牌获取高溢价的下游企业，而是依靠高技术材料加工、客户认证和专用装备应用获得技术溢价。进一步提升利润率的关键在于提高高端钛合金和高温合金型号批产比例，提高高场超导线材、超导磁体和高温超导产品占比，降低铌、镍、无氧铜和海绵钛等原材料价格波动影响，缩短客户认证至批量供货周期，并改善应收账款和客户集中度带来的资金占用风险。</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26.12亿元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同比下降4.07%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归属于上市公司股东的净利润3.45亿元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同比下降36.77%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27.23亿元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归属于上市公司股东的净利润5.46亿元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52.26亿元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同比增长13.29%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归属于上市公司股东的净利润8.39亿元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同比增长4.81%</w:t>
            </w:r>
          </w:p>
        </w:tc>
      </w:tr>
    </w:tbl>
    <w:p>
      <w:pPr>
        <w:spacing w:after="200"/>
      </w:pPr>
      <w:r>
        <w:rPr>
          <w:i/>
          <w:iCs/>
          <w:color w:val="595959"/>
          <w:sz w:val="18"/>
          <w:szCs w:val="18"/>
        </w:rPr>
        <w:t xml:space="preserve">2026年上半年扣非归母净利润为1.56亿元，同比下降68.42%；2025年上半年为4.93亿元。2026年上半年基本每股收益0.5315元，同比下降36.77%，扣非后基本每股收益0.2399元，同比下降68.42%。2026年上半年经营活动产生的现金流量净额为-1.34亿元，2025年同期为2.04亿元。2025年全年扣非归母净利润为6.83亿元，同比下降4.16%，经营活动现金流净额为6.06亿元，同比增长35.73%。</w:t>
      </w:r>
    </w:p>
    <w:p>
      <w:pPr>
        <w:spacing w:after="160" w:line="300"/>
      </w:pPr>
      <w:r>
        <w:rPr>
          <w:sz w:val="22"/>
          <w:szCs w:val="22"/>
        </w:rPr>
        <w:t xml:space="preserve">2026年上半年公司收入小幅下降，归母净利润和扣非归母净利润明显下滑，主营盈利承压。公司解释业绩下滑主要由于产品结构调整、部分产品销售价格下降、研发投入增加以及计入当期损益的政府补助减少。同期公允价值变动收益为2.06亿元，非经常性损益合计为1.89亿元，归母净利润中包含较大规模的公允价值变动收益，扣非归母净利润表现明显弱于表面归母净利润。分产品看，高端钛合金材料收入约12.00亿元，同比下降23.44%，毛利率34.14%；超导产品收入约7.43亿元，同比下降6.96%，毛利率28.51%；高性能高温合金材料收入约5.34亿元，同比增长117.79%，毛利率22.95%。公司2026年上半年综合毛利率约30.09%，同比下降8.61个百分点，第二季度综合毛利率约33.27%，较第一季度有所改善。截至2026年6月30日，归属于上市公司股东的净资产为72.25亿元，较2025年末增长1.36%；总资产为166.02亿元，较2025年末增长10.03%；资产负债率为51.78%，较2025年末的48.13%上升。高温合金业务增长较快，但毛利率仍低于钛合金和超导产品，能否抵消其他业务下滑仍需观察。</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F10数据显示，截至2026年9月9日，近6个月内共有9家机构对公司2026年业绩进行预测。主要机构预测：招商证券于2026年9月3日预计2026—2028年归母净利润为7.98亿、9.70亿、11.62亿元，EPS为1.23元、1.49元、1.79元；国联民生证券于2026年8月30日预计归母净利润为8.46亿、9.69亿、11.31亿元，EPS为1.30元、1.49元、1.74元；华泰证券于2026年8月28日预计归母净利润为8.46亿、9.65亿、10.86亿元，EPS为1.30元、1.49元、1.67元；开源证券于2026年8月28日预计归母净利润为7.76亿、9.52亿、11.47亿元，EPS为1.19元、1.47元、1.77元。机构预测差异较大，开源证券对2026年盈利预测相对谨慎。</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机构汇总预测约53.98亿元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机构汇总预测归母净利润约8.08亿元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较2025年实际归母净利润8.39亿元隐含同比下降约3.7%；公开预测区间为6.50亿至8.65亿元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机构汇总预测约1.24元；公开预测区间为1.00元至1.33元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机构汇总预测约67.11亿元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机构汇总预测归母净利润约9.62亿元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较2025年实际归母净利润隐含同比增长约19%；公开预测区间为8.57亿至10.60亿元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机构汇总预测约1.48元；公开预测区间为1.32元至1.63元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机构汇总预测约80.13亿元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机构汇总预测归母净利润约11.43亿元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较2025年实际归母净利润隐含同比增长约18.8%；公开预测区间为10.61亿至12.80亿元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机构汇总预测约1.76元；公开预测区间为1.63元至1.97元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2026—2028年EPS预测为1.30元、1.45元、1.63元；目标价73.02元，按照2026年56.29倍PE进行估值。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2026—2028年归母净利润预测为8.46亿、9.65亿、10.86亿元；2026年目标估值约47倍PE，目标价61.10元。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2026—2028年归母净利润预测为8.46亿、9.69亿、11.31亿元；对应PE约为38倍、33倍、29倍；公开摘要未明确披露新的目标价。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2026—2028年归母净利润预测为7.76亿、9.52亿、11.47亿元，EPS为1.19元、1.47元、1.77元；对应PE约42.1倍、34.3倍、28.5倍。</w:t>
            </w:r>
          </w:p>
        </w:tc>
      </w:tr>
    </w:tbl>
    <w:p>
      <w:pPr>
        <w:spacing w:before="200"/>
      </w:pPr>
    </w:p>
    <w:p>
      <w:pPr>
        <w:spacing w:after="160" w:line="300"/>
      </w:pPr>
      <w:r>
        <w:rPr>
          <w:sz w:val="22"/>
          <w:szCs w:val="22"/>
        </w:rPr>
        <w:t xml:space="preserve">截至2026年9月11日收盘，股价约51.57元，总股本约6.50亿股，总市值约335亿元。中财网数据显示，动态市盈率约52.48倍，扣非动态市盈率约96.98倍，市净率约4.18倍，截至2026年6月30日每股收益指标约0.98元。按同花顺机构一致预期EPS测算，2026—2028年动态PE约为41.6倍、34.8倍、29.3倍。按51.57元收盘价测算，国泰海通目标价73.02元对应潜在上涨空间约41.6%，华泰目标价61.10元对应约18.5%，开源及证券之星汇总目标价64.82元对应约25.7%。当前静态或TTM估值受2026年上半年利润下滑影响较大，扣非PE接近100倍；机构对2027—2028年的估值判断主要建立在盈利恢复基础上。当前约52倍动态PE和约4.2倍PB并不便宜，市场已对公司未来盈利修复以及高温合金、超导业务增长给予一定溢价。若2027年盈利无法达到约9.5亿至10亿元，估值可能面临压缩风险。估值对下半年订单确认、钛合金需求恢复及高温合金放量较为敏感。需注意，部分行情网站对2026年9月11日收盘价记录不一致，Investing历史数据显示49.17元或49.92元，本纪要采用中财网记录的51.57元，相关估值数据仍需以交易所及公司正式披露数据进一步核对。</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子公司西安聚能超导磁体收到陕西证监局警示函</w:t>
      </w:r>
    </w:p>
    <w:p>
      <w:pPr>
        <w:spacing w:after="160" w:line="300"/>
      </w:pPr>
      <w:r>
        <w:rPr>
          <w:sz w:val="22"/>
          <w:szCs w:val="22"/>
        </w:rPr>
        <w:t xml:space="preserve">2026年9月1日，陕西证监局对西部超导控股子公司西安聚能超导磁体科技股份有限公司采取出具警示函措施。监管认定其信息披露事务管理制度未包括内幕信息知情人登记管理要求，日常管理中也未对相关重大事项进行内幕信息知情人登记。公司需在收到决定书之日起30个工作日内提交整改报告。该措施直接对象为子公司，不涉及西部超导上市公司本身，未涉及罚款金额或立案处罚。由于聚能磁体正在推进北交所上市，相关事项可能增加其规范整改及上市审核进度的不确定性，直接财务影响暂无法量化。来源：陕西证监局。</w:t>
      </w:r>
    </w:p>
    <w:p>
      <w:pPr>
        <w:pStyle w:val="Heading2"/>
        <w:spacing w:after="120" w:before="240"/>
      </w:pPr>
      <w:r>
        <w:rPr>
          <w:b/>
          <w:bCs/>
          <w:color w:val="2E74B5"/>
          <w:sz w:val="24"/>
          <w:szCs w:val="24"/>
        </w:rPr>
        <w:t xml:space="preserve">4.2 中标中国航发沈阳黎明航空发动机采购项目</w:t>
      </w:r>
    </w:p>
    <w:p>
      <w:pPr>
        <w:spacing w:after="160" w:line="300"/>
      </w:pPr>
      <w:r>
        <w:rPr>
          <w:sz w:val="22"/>
          <w:szCs w:val="22"/>
        </w:rPr>
        <w:t xml:space="preserve">据2026年9月9日公开报道，西部超导中标中国航发沈阳黎明航空发动机有限责任公司棒材采购项目，中标金额为1,966.76万元。该项目与航空钛合金、航空发动机材料业务相关。但目前主要为媒体转引的公开采购结果，尚未检索到西部超导在上海证券交易所披露的独立中标公告，金额及中标事实仍待公司进一步确认，不宜直接视为正式公告确认的新增订单。</w:t>
      </w:r>
    </w:p>
    <w:p>
      <w:pPr>
        <w:pStyle w:val="Heading2"/>
        <w:spacing w:after="120" w:before="240"/>
      </w:pPr>
      <w:r>
        <w:rPr>
          <w:b/>
          <w:bCs/>
          <w:color w:val="2E74B5"/>
          <w:sz w:val="24"/>
          <w:szCs w:val="24"/>
        </w:rPr>
        <w:t xml:space="preserve">4.3 2026年半年度报告显示收入及利润下滑</w:t>
      </w:r>
    </w:p>
    <w:p>
      <w:pPr>
        <w:spacing w:after="160" w:line="300"/>
      </w:pPr>
      <w:r>
        <w:rPr>
          <w:sz w:val="22"/>
          <w:szCs w:val="22"/>
        </w:rPr>
        <w:t xml:space="preserve">西部超导于2026年8月27日披露2026年半年度报告。上半年实现营业收入26.12亿元，同比下降4.07%；归母净利润3.45亿元，同比下降36.77%；扣非归母净利润1.56亿元，同比下降68.42%；经营活动现金流量净额为-1.34亿元，上年同期为2.04亿元；基本每股收益为0.5315元。报告期内非经常性损益合计约1.89亿元，其中交易性金融资产、交易性金融负债公允价值变动及相关投资收益约2.06亿元，计入当期损益的政府补助约2,540.51万元。</w:t>
      </w:r>
    </w:p>
    <w:p>
      <w:pPr>
        <w:pStyle w:val="Heading2"/>
        <w:spacing w:after="120" w:before="240"/>
      </w:pPr>
      <w:r>
        <w:rPr>
          <w:b/>
          <w:bCs/>
          <w:color w:val="2E74B5"/>
          <w:sz w:val="24"/>
          <w:szCs w:val="24"/>
        </w:rPr>
        <w:t xml:space="preserve">4.4 半年度利润分配方案拟每10股派发现金股利2元</w:t>
      </w:r>
    </w:p>
    <w:p>
      <w:pPr>
        <w:spacing w:after="160" w:line="300"/>
      </w:pPr>
      <w:r>
        <w:rPr>
          <w:sz w:val="22"/>
          <w:szCs w:val="22"/>
        </w:rPr>
        <w:t xml:space="preserve">2026年8月27日，公司披露半年度利润分配方案，拟以总股本649,664,497股为基数，向全体股东每10股派发现金股利2元（含税），预计现金分红总额为129,932,899.40元。方案已经董事会审议通过，依据此前股东会授权，无需再次提交股东大会审议。具体实施日期在研究纪要中未明确。</w:t>
      </w:r>
    </w:p>
    <w:p>
      <w:pPr>
        <w:pStyle w:val="Heading2"/>
        <w:spacing w:after="120" w:before="240"/>
      </w:pPr>
      <w:r>
        <w:rPr>
          <w:b/>
          <w:bCs/>
          <w:color w:val="2E74B5"/>
          <w:sz w:val="24"/>
          <w:szCs w:val="24"/>
        </w:rPr>
        <w:t xml:space="preserve">4.5 半年度计提资产减值准备9,718.81万元</w:t>
      </w:r>
    </w:p>
    <w:p>
      <w:pPr>
        <w:spacing w:after="160" w:line="300"/>
      </w:pPr>
      <w:r>
        <w:rPr>
          <w:sz w:val="22"/>
          <w:szCs w:val="22"/>
        </w:rPr>
        <w:t xml:space="preserve">2026年8月27日，公司公告2026年半年度计提资产减值准备合计9,718.81万元。其中，信用减值损失1,229.78万元，主要涉及应收票据、应收账款及其他应收款；资产减值损失8,489.03万元，主要包括存货跌价准备和合同资产减值损失。公司称，本次计提将减少2026年半年度合并利润总额9,718.81万元，相关数据未经审计，最终以会计师事务所年度审计确认金额为准。</w:t>
      </w:r>
    </w:p>
    <w:p>
      <w:pPr>
        <w:pStyle w:val="Heading2"/>
        <w:spacing w:after="120" w:before="240"/>
      </w:pPr>
      <w:r>
        <w:rPr>
          <w:b/>
          <w:bCs/>
          <w:color w:val="2E74B5"/>
          <w:sz w:val="24"/>
          <w:szCs w:val="24"/>
        </w:rPr>
        <w:t xml:space="preserve">4.6 控股子公司聚能磁体申请北交所上市获受理</w:t>
      </w:r>
    </w:p>
    <w:p>
      <w:pPr>
        <w:spacing w:after="160" w:line="300"/>
      </w:pPr>
      <w:r>
        <w:rPr>
          <w:sz w:val="22"/>
          <w:szCs w:val="22"/>
        </w:rPr>
        <w:t xml:space="preserve">西部超导于2026年7月1日披露，控股子公司西安聚能超导磁体科技股份有限公司已于2026年6月25日向北交所报送上市申报材料，并于6月29日收到北交所出具的受理通知书。西部超导持有聚能磁体29,600,000股，持股比例为34.82%。公司提示，聚能磁体存在无法通过北交所发行上市审核或中国证监会注册、公开发行失败及无法上市等风险。2026年9月1日收到警示函后，其整改及审核进展仍需持续跟踪。</w:t>
      </w:r>
    </w:p>
    <w:p>
      <w:pPr>
        <w:pStyle w:val="Heading2"/>
        <w:spacing w:after="120" w:before="240"/>
      </w:pPr>
      <w:r>
        <w:rPr>
          <w:b/>
          <w:bCs/>
          <w:color w:val="2E74B5"/>
          <w:sz w:val="24"/>
          <w:szCs w:val="24"/>
        </w:rPr>
        <w:t xml:space="preserve">4.7 控股股东西北有色院减持计划实施完毕</w:t>
      </w:r>
    </w:p>
    <w:p>
      <w:pPr>
        <w:spacing w:after="160" w:line="300"/>
      </w:pPr>
      <w:r>
        <w:rPr>
          <w:sz w:val="22"/>
          <w:szCs w:val="22"/>
        </w:rPr>
        <w:t xml:space="preserve">2026年8月12日，公司披露股东减持股份结果公告。控股股东西北有色金属研究院于2026年8月3日至8月6日期间减持公司股份200万股，占公司总股本的0.3079%；此前减持计划为2026年5月11日至8月11日期间减持不超过623.6779万股，占总股本不超过0.96%。公告显示，减持计划已届满。本次实际减持数量低于计划上限，对公司控制权不构成影响。</w:t>
      </w:r>
    </w:p>
    <w:p>
      <w:pPr>
        <w:pStyle w:val="Heading2"/>
        <w:spacing w:after="120" w:before="240"/>
      </w:pPr>
      <w:r>
        <w:rPr>
          <w:b/>
          <w:bCs/>
          <w:color w:val="2E74B5"/>
          <w:sz w:val="24"/>
          <w:szCs w:val="24"/>
        </w:rPr>
        <w:t xml:space="preserve">4.8 ITER供货任务完成，MCZ超导磁体已实现批量供应</w:t>
      </w:r>
    </w:p>
    <w:p>
      <w:pPr>
        <w:spacing w:after="160" w:line="300"/>
      </w:pPr>
      <w:r>
        <w:rPr>
          <w:sz w:val="22"/>
          <w:szCs w:val="22"/>
        </w:rPr>
        <w:t xml:space="preserve">2026年8月20日，公司通过上证e互动回应投资者称，已完成向ITER项目的供货任务；在半导体领域，随着大尺寸硅片产能提升、产品迭代和设备国产化推进，MCZ超导磁体需求持续释放，公司产品已实现批量供应客户，并将积极对接可控核聚变相关项目。上述内容属于投资者互动平台回复，不等同于正式业绩承诺或订单公告。研究纪要未披露具体订单金额、收入确认时间及利润贡献数据。</w:t>
      </w:r>
    </w:p>
    <w:p>
      <w:pPr>
        <w:pStyle w:val="Heading2"/>
        <w:spacing w:after="120" w:before="240"/>
      </w:pPr>
      <w:r>
        <w:rPr>
          <w:b/>
          <w:bCs/>
          <w:color w:val="2E74B5"/>
          <w:sz w:val="24"/>
          <w:szCs w:val="24"/>
        </w:rPr>
        <w:t xml:space="preserve">4.9 截至2026年9月12日未检索到新增回购或增持公告</w:t>
      </w:r>
    </w:p>
    <w:p>
      <w:pPr>
        <w:spacing w:after="160" w:line="300"/>
      </w:pPr>
      <w:r>
        <w:rPr>
          <w:sz w:val="22"/>
          <w:szCs w:val="22"/>
        </w:rPr>
        <w:t xml:space="preserve">截至2026年9月12日，未检索到西部超导在2026年9月新披露股份回购、控股股东增持或新的董事高管增减持公告。半年度报告中披露的特定监管或行政处罚情形下可能履行股份回购承诺，属于历史性或条件性承诺，不应解读为正在实施的回购计划。</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西部超导（688122），科创板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51.57元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上涨1.65元，涨幅3.31%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49.31元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52.20元/47.96元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192,723.5手，约1,927.24万股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约9.69亿元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均约6.50亿股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约335.2亿元，为51.57元×6.50亿股的估算值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52.48倍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约4.18倍；部分平台显示4.49倍，存在口径差异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46.66~110.00元；区间统计存在复权、除权或异常行情口径风险</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近期收盘走势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2026年9月7日至9月11日收盘价依次为49.14元、49.00元、50.73元、49.92元、51.57元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股价先在49元附近震荡，9月9日和9月11日放量上涨，9月11日盘中最高达到52.20元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MA5约50.03元，MA10约50.00元（截至9月10日）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截至9月10日页面信号偏卖出；9月11日收盘价已明显高于两条均线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MA20/MA50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MA20约49.59元，MA50约49.58元（截至9月10日）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页面信号偏买入；9月11日收盘价已明显高于中期均线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MA100约49.70元，MA200约50.88元（截至9月10日）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MA100标准均线偏买入、指数均线偏卖出，MA200偏卖出；短线反弹增强，但中长期尚未形成全面转强结构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约0.18（截至9月10日）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页面信号为买入，显示短线动能有所修复，但数值温和，不能单独证明中期趋势反转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约53.03（截至9月10日）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处于中性区域，未达到明显超买或超卖，支持短线动能改善但尚未极端强势的判断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中轨估算约49.6~49.8元；上轨估算约52.3~52.8元；下轨估算约46.6~47.1元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为基于近期价格序列的估算值，并非单一平台直接披露值；9月11日最高价52.20元已接近估算上轨区域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量价关系</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9月7日至10日平均成交额未披露具体均值；纪要称9月11日成交额约为该期间平均水平的2.2倍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9月9日和9月11日均出现放量上涨，短线资金参与度提高，但仍需观察后续成交量能否维持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9月11日净流入约3065.97万元；9月10日净卖出约953.03万元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资金流向存在日间波动，单日净流入不足以确认持续性大资金趋势性建仓；不同平台对主力资金的定义也不完全一致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PE-TTM为52.48倍，历史分位点约81.27%；历史80%分位值约51.86倍，历史中位PE约40.59倍，历史危险值约52.20倍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当前估值接近历史高估值区域，短线继续上行需要成交量、行业情绪或基本面预期配合</w:t>
            </w:r>
          </w:p>
        </w:tc>
      </w:tr>
    </w:tbl>
    <w:p>
      <w:pPr>
        <w:spacing w:before="200"/>
      </w:pPr>
    </w:p>
    <w:p>
      <w:pPr>
        <w:spacing w:after="160" w:line="300"/>
      </w:pPr>
      <w:r>
        <w:rPr>
          <w:sz w:val="22"/>
          <w:szCs w:val="22"/>
        </w:rPr>
        <w:t xml:space="preserve">截至2026年9月11日，西部超导收盘51.57元，较前期49元附近震荡区间明显上移，且9月9日、9月11日均出现放量上涨。9月11日收盘价已高于MA5、MA10、MA20和MA50，但仅略高于MA200附近水平，说明短线反弹动能改善，中长期趋势仍缺乏全面转强确认。MACD显示短线修复，RSI处于中性区域；股价同时接近估算布林上轨52.3~52.8元，短期面临压力。当前PE-TTM为52.48倍，处于历史较高估值区域，后续走势对成交量、资金持续性及行业情绪较为敏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52.2~52.8元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由9月11日日内高点52.20元及估算布林上轨约52.3~52.8元构成；若有效放量突破并连续收盘站稳，可能打开向54元附近及前期更高平台反弹的空间；若冲高后跌回52元下方，需警惕假突破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50.0~50.4元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对应MA5、MA10约50.0元及9月9日至10日价格密集区；若回踩缩量企稳，短线强势结构尚未明显破坏；若放量跌破，可能回测49元附近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48.8~49.3元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对应近期49元附近成交和止跌区域，并接近MA20、MA50区域；若放量跌破，可能向估算布林下轨46.6~47.1元及52周低点附近寻找支撑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形态、成交量和资金流向的主观启发式权重，不是统计学概率）：价格区间约50.0~52.5元。若成交额回落至约3亿~6亿元、股价守住50元附近但未能持续突破52.2元，结合股价接近短期压力区、RSI处于中性区域及均线多空交错，可能表现为高位震荡和技术性消化。</w:t>
      </w:r>
    </w:p>
    <w:p>
      <w:pPr>
        <w:pStyle w:val="ListParagraph"/>
        <w:numPr>
          <w:ilvl w:val="0"/>
          <w:numId w:val="2"/>
        </w:numPr>
        <w:spacing w:after="80" w:line="280"/>
      </w:pPr>
      <w:r>
        <w:rPr>
          <w:sz w:val="22"/>
          <w:szCs w:val="22"/>
        </w:rPr>
        <w:t xml:space="preserve">反弹走强（权重中等，约三成左右；为主观启发式权重，不是统计学概率）：价格区间约52.2~54.5元。触发条件包括有效突破52.2~52.8元，单日成交额维持在6亿元以上，主力资金连续净流入，且军工、新材料或超导相关板块同步走强。仅盘中突破但收盘重新跌回52元下方，不视为有效突破。</w:t>
      </w:r>
    </w:p>
    <w:p>
      <w:pPr>
        <w:pStyle w:val="ListParagraph"/>
        <w:numPr>
          <w:ilvl w:val="0"/>
          <w:numId w:val="2"/>
        </w:numPr>
        <w:spacing w:after="80" w:line="280"/>
      </w:pPr>
      <w:r>
        <w:rPr>
          <w:sz w:val="22"/>
          <w:szCs w:val="22"/>
        </w:rPr>
        <w:t xml:space="preserve">偏弱回落（权重偏低至中等，约两成左右；为主观启发式权重，不是统计学概率）：价格区间约48.8~50.0元。触发条件包括放量跌破50元且主力资金重新连续净流出，或大盘、军工及有色金属板块明显调整；若进一步跌破48.8~49.3元强支撑区，可能向46.6~47.1元区域寻找支撑。</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7日至9月10日，单日成交额约2.40亿~6.76亿元，换手率为0.75%~2.08%；9月11日成交额升至约9.69亿元，换手率升至2.97%。纪要将约2.5亿~4亿元概括为正常交易日成交额，市场冲高时可放大至6亿~10亿元。2026年6月30日数据显示，股东总户数约76,436户，前十大流通股东合计持股约3.04亿股，占流通股本46.86%；同花顺平台统计的主力机构持股约3.456亿股，占流通A股53.20%，机构类型包括基金、一般法人和社保基金等。前十大流通股东集中度与全部主力机构持股比例统计对象和口径不同，不可直接相加。上述股东结构数据截至2026年6月30日，距离2026年9月11日收盘已有约两个多月，期间可能发生调仓，不能视为实时持仓结构。数据表明股权集中度和机构参与度较高，实际可交易筹码可能相对集中；放量时股价弹性较强，资金退潮时也可能出现较快波动。</w:t>
      </w:r>
    </w:p>
    <w:p>
      <w:pPr>
        <w:spacing w:after="160" w:line="300"/>
      </w:pPr>
      <w:r>
        <w:rPr>
          <w:sz w:val="22"/>
          <w:szCs w:val="22"/>
        </w:rPr>
        <w:t xml:space="preserve">可检查的量价确认信号是：若未来一周单日成交额能够连续达到约6亿元以上，并且收盘价同步站稳52.2~52.8元压力区，可视为短线资金参与度进一步增强；若成交额回落至3亿元以下且股价跌破50元，则说明放量突破的持续性不足。</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观察思路，非操作指令：关注52.2~52.8元能否由压力区转化为有效支撑。</w:t>
      </w:r>
    </w:p>
    <w:p>
      <w:pPr>
        <w:pStyle w:val="ListParagraph"/>
        <w:numPr>
          <w:ilvl w:val="0"/>
          <w:numId w:val="2"/>
        </w:numPr>
        <w:spacing w:after="80" w:line="280"/>
      </w:pPr>
      <w:r>
        <w:rPr>
          <w:sz w:val="22"/>
          <w:szCs w:val="22"/>
        </w:rPr>
        <w:t xml:space="preserve">观察思路，非操作指令：关注50.0~50.4元回踩时是否缩量，以及49元附近能否继续获得承接。</w:t>
      </w:r>
    </w:p>
    <w:p>
      <w:pPr>
        <w:pStyle w:val="ListParagraph"/>
        <w:numPr>
          <w:ilvl w:val="0"/>
          <w:numId w:val="2"/>
        </w:numPr>
        <w:spacing w:after="80" w:line="280"/>
      </w:pPr>
      <w:r>
        <w:rPr>
          <w:sz w:val="22"/>
          <w:szCs w:val="22"/>
        </w:rPr>
        <w:t xml:space="preserve">观察思路，非操作指令：关注成交额是否连续达到约6亿元以上，而非仅出现单日放量。</w:t>
      </w:r>
    </w:p>
    <w:p>
      <w:pPr>
        <w:pStyle w:val="ListParagraph"/>
        <w:numPr>
          <w:ilvl w:val="0"/>
          <w:numId w:val="2"/>
        </w:numPr>
        <w:spacing w:after="80" w:line="280"/>
      </w:pPr>
      <w:r>
        <w:rPr>
          <w:sz w:val="22"/>
          <w:szCs w:val="22"/>
        </w:rPr>
        <w:t xml:space="preserve">观察思路，非操作指令：关注主力资金是否由单日净流入转为连续多个交易日净流入。</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西部超导归属于有色金属合金制造（C3240），实际横跨超导材料及磁体、高端钛合金和高性能高温合金三个技术门槛较高、竞争结构不同的细分行业。公司具备超导线材和磁体全流程制造能力，聚焦航空领域高端钛合金棒材、丝材及相关高性能材料，并处于高温合金扩产、认证和放量阶段。</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超导材料及磁体：行业仍处于技术产业化和应用扩张阶段，应用覆盖核聚变、MRI和NMR、高能加速器、磁控直拉单晶硅、量子计算、超导电缆、超导储能、高速磁悬浮及高场科研磁体等领域。国内低温超导线材及磁体参与者相对有限，竞争重点包括高场磁体、核聚变项目、高端MRI/NMR、MCZ单晶硅设备以及高温超导材料的批量化和降成本。</w:t>
      </w:r>
    </w:p>
    <w:p>
      <w:pPr>
        <w:pStyle w:val="ListParagraph"/>
        <w:numPr>
          <w:ilvl w:val="0"/>
          <w:numId w:val="2"/>
        </w:numPr>
        <w:spacing w:after="80" w:line="280"/>
      </w:pPr>
      <w:r>
        <w:rPr>
          <w:sz w:val="22"/>
          <w:szCs w:val="22"/>
        </w:rPr>
        <w:t xml:space="preserve">高端钛合金：行业集中于航空、航天、舰船和兵器等高端应用，壁垒来自原材料纯净度控制、超大规格铸锭均匀化、大规格棒材锻造、小规格棒丝材组织控制、批次稳定性及客户认证。行业并非单纯比拼产能，不同企业在产品形态、客户结构和应用领域上存在差异。</w:t>
      </w:r>
    </w:p>
    <w:p>
      <w:pPr>
        <w:pStyle w:val="ListParagraph"/>
        <w:numPr>
          <w:ilvl w:val="0"/>
          <w:numId w:val="2"/>
        </w:numPr>
        <w:spacing w:after="80" w:line="280"/>
      </w:pPr>
      <w:r>
        <w:rPr>
          <w:sz w:val="22"/>
          <w:szCs w:val="22"/>
        </w:rPr>
        <w:t xml:space="preserve">高性能高温合金：主要用于航空发动机和燃气轮机热端部件，行业具有技术门槛高、认证周期长、对纯净度和批次稳定性要求高等特点，目前仅少数国内企业能够稳定批量供货，需求与航空发动机、燃气轮机和能源装备景气度密切相关。</w:t>
      </w:r>
    </w:p>
    <w:p>
      <w:pPr>
        <w:pStyle w:val="ListParagraph"/>
        <w:numPr>
          <w:ilvl w:val="0"/>
          <w:numId w:val="2"/>
        </w:numPr>
        <w:spacing w:after="80" w:line="280"/>
      </w:pPr>
      <w:r>
        <w:rPr>
          <w:sz w:val="22"/>
          <w:szCs w:val="22"/>
        </w:rPr>
        <w:t xml:space="preserve">公司2025年披露形成Bi系高温超导线材批量化制备能力，单根线材长度达到千米量级，产能达到2,000千米/年；但公开年报未统一披露NbTi、Nb3Sn、MgB2等各类线材及超导磁体的完整设计产能，因此该数据不能等同于公司全部超导产品总产能。</w:t>
      </w:r>
    </w:p>
    <w:p>
      <w:pPr>
        <w:pStyle w:val="ListParagraph"/>
        <w:numPr>
          <w:ilvl w:val="0"/>
          <w:numId w:val="2"/>
        </w:numPr>
        <w:spacing w:after="80" w:line="280"/>
      </w:pPr>
      <w:r>
        <w:rPr>
          <w:sz w:val="22"/>
          <w:szCs w:val="22"/>
        </w:rPr>
        <w:t xml:space="preserve">公司公开披露的2024年高端钛合金产量8,133.73吨、高温合金产量1,264.29吨属于实际产量，不等同于设计产能；三大业务总设计产能披露并不完整。</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宝钛股份（600456）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综合钛材平台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与西部超导在航空钛合金领域直接重叠；产品种类广、产业链较完整、规模大，覆盖板、带、箔、管、棒、线、锻件、铸件等。西部超导更聚焦航空高端棒材、丝材，并拥有超导业务。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金天钛业（688750）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高端航空钛合金棒材、锻坯企业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与西部超导在军用航空高端钛合金棒材、锻坯和部分航空材料领域直接竞争；业务更聚焦钛合金，西部超导拥有超导、钛合金和高温合金三大板块。</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钢研高纳（300034）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高温合金专业企业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与西部超导在航空发动机、燃气轮机用高温合金领域竞争；在铸造、变形、粉末高温合金等方向技术积累较深。西部超导高温合金业务仍处于扩产、认证和放量阶段。</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抚顺特钢（600399）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大型特殊钢、高温合金及军工材料企业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与西部超导在变形高温合金、航空发动机材料和特殊钢领域存在竞争；规模化生产能力和产品覆盖面较强，西部超导更偏高端细分牌号、科研成果产业化及多业务协同。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图南股份（300855）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高温合金及精密零部件企业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与西部超导在航空航天高温合金材料领域存在一定重叠；业务更聚焦高温合金和精密零部件，西部超导产品体系更综合，并拥有低温超导和航空钛合金业务。</w:t>
            </w:r>
          </w:p>
        </w:tc>
      </w:tr>
    </w:tbl>
    <w:p>
      <w:pPr>
        <w:spacing w:before="200"/>
      </w:pPr>
    </w:p>
    <w:p>
      <w:pPr>
        <w:spacing w:after="160" w:line="300"/>
      </w:pPr>
      <w:r>
        <w:rPr>
          <w:sz w:val="22"/>
          <w:szCs w:val="22"/>
        </w:rPr>
        <w:t xml:space="preserve">西部超导不存在完全对应的单一可比公司。宝钛股份和金天钛业更适合比较钛合金业务，钢研高纳、抚顺特钢和图南股份更适合比较高温合金业务；超导业务的直接可比上市公司较少。公司相较宝钛股份更聚焦航空高端棒材、丝材及超导业务，相较金天钛业业务更加多元，相较钢研高纳、抚顺特钢和图南股份则拥有超导及高端钛合金业务支撑，但高温合金仍处于扩产、认证和放量阶段。</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盈利下滑风险：2026年上半年扣非归母净利润仅1.56亿元，同比下降68.42%，综合毛利率同比下降8.61个百分点；若产品结构调整、销售价格下降和研发投入增加持续，归母净利润中的公允价值变动收益可能无法替代主营业务盈利。</w:t>
      </w:r>
    </w:p>
    <w:p>
      <w:pPr>
        <w:pStyle w:val="ListParagraph"/>
        <w:numPr>
          <w:ilvl w:val="0"/>
          <w:numId w:val="2"/>
        </w:numPr>
        <w:spacing w:after="80" w:line="280"/>
      </w:pPr>
      <w:r>
        <w:rPr>
          <w:sz w:val="22"/>
          <w:szCs w:val="22"/>
        </w:rPr>
        <w:t xml:space="preserve">高端钛合金需求及客户采购节奏风险：2026年上半年高端钛合金收入约12.00亿元，同比下降23.44%。公司下游航空及军工客户认证周期长，采购计划、型号进度和验收节奏可能影响订单确认、收入确认及回款。</w:t>
      </w:r>
    </w:p>
    <w:p>
      <w:pPr>
        <w:pStyle w:val="ListParagraph"/>
        <w:numPr>
          <w:ilvl w:val="0"/>
          <w:numId w:val="2"/>
        </w:numPr>
        <w:spacing w:after="80" w:line="280"/>
      </w:pPr>
      <w:r>
        <w:rPr>
          <w:sz w:val="22"/>
          <w:szCs w:val="22"/>
        </w:rPr>
        <w:t xml:space="preserve">高温合金放量不及预期风险：2026年上半年高温合金收入同比增长117.79%，但毛利率为22.95%，仍低于高端钛合金和超导产品。若扩产、客户认证或批量供货进度不及预期，该业务可能难以抵消钛合金和超导业务的下滑。</w:t>
      </w:r>
    </w:p>
    <w:p>
      <w:pPr>
        <w:pStyle w:val="ListParagraph"/>
        <w:numPr>
          <w:ilvl w:val="0"/>
          <w:numId w:val="2"/>
        </w:numPr>
        <w:spacing w:after="80" w:line="280"/>
      </w:pPr>
      <w:r>
        <w:rPr>
          <w:sz w:val="22"/>
          <w:szCs w:val="22"/>
        </w:rPr>
        <w:t xml:space="preserve">原材料价格及毛利率风险：2024年原材料成本约占主营业务成本70.01%，高端钛合金、超导产品和高性能高温合金的原材料成本占各产品成本比例分别为64.27%、78.44%和77.99%。公司对海绵钛、铌、镍、无氧铜等材料不具备完全定价权，原材料价格波动可能压缩利润率。</w:t>
      </w:r>
    </w:p>
    <w:p>
      <w:pPr>
        <w:pStyle w:val="ListParagraph"/>
        <w:numPr>
          <w:ilvl w:val="0"/>
          <w:numId w:val="2"/>
        </w:numPr>
        <w:spacing w:after="80" w:line="280"/>
      </w:pPr>
      <w:r>
        <w:rPr>
          <w:sz w:val="22"/>
          <w:szCs w:val="22"/>
        </w:rPr>
        <w:t xml:space="preserve">客户集中度及应收账款风险：2024年前五大客户销售额占年度销售总额62.70%，第一大客户占比26.91%；截至2024年末应收账款27.10亿元，同比增长31.60%，高于应付账款18.65亿元。航空材料生产周期较长且较多采用承兑汇票，若客户采购或回款节奏变化，可能加大资金占用及信用减值压力。</w:t>
      </w:r>
    </w:p>
    <w:p>
      <w:pPr>
        <w:pStyle w:val="ListParagraph"/>
        <w:numPr>
          <w:ilvl w:val="0"/>
          <w:numId w:val="2"/>
        </w:numPr>
        <w:spacing w:after="80" w:line="280"/>
      </w:pPr>
      <w:r>
        <w:rPr>
          <w:sz w:val="22"/>
          <w:szCs w:val="22"/>
        </w:rPr>
        <w:t xml:space="preserve">资产减值风险：公司2026年上半年计提资产减值准备合计9,718.81万元，其中存货跌价准备和合同资产减值损失合计构成主要部分，相关金额尚未经年度审计最终确认。若存货消化、合同执行或客户验收不及预期，后续仍可能出现减值压力。</w:t>
      </w:r>
    </w:p>
    <w:p>
      <w:pPr>
        <w:pStyle w:val="ListParagraph"/>
        <w:numPr>
          <w:ilvl w:val="0"/>
          <w:numId w:val="2"/>
        </w:numPr>
        <w:spacing w:after="80" w:line="280"/>
      </w:pPr>
      <w:r>
        <w:rPr>
          <w:sz w:val="22"/>
          <w:szCs w:val="22"/>
        </w:rPr>
        <w:t xml:space="preserve">超导业务订单及兑现风险：ITER供货完成、MCZ超导磁体批量供应以及核聚变项目拓展目前未披露具体订单金额、收入确认时间和利润贡献，超导磁体还需客户测试确认，单个项目订单波动可能较大，相关业务增长存在兑现不确定性。</w:t>
      </w:r>
    </w:p>
    <w:p>
      <w:pPr>
        <w:pStyle w:val="ListParagraph"/>
        <w:numPr>
          <w:ilvl w:val="0"/>
          <w:numId w:val="2"/>
        </w:numPr>
        <w:spacing w:after="80" w:line="280"/>
      </w:pPr>
      <w:r>
        <w:rPr>
          <w:sz w:val="22"/>
          <w:szCs w:val="22"/>
        </w:rPr>
        <w:t xml:space="preserve">聚能磁体上市及规范治理风险：控股子公司西安聚能超导磁体已获北交所上市申请受理，但因未完善内幕信息知情人登记管理而收到陕西证监局警示函。其整改效果、北交所审核及后续发行上市结果均存在不确定性，直接财务影响暂无法量化。</w:t>
      </w:r>
    </w:p>
    <w:p>
      <w:pPr>
        <w:pStyle w:val="ListParagraph"/>
        <w:numPr>
          <w:ilvl w:val="0"/>
          <w:numId w:val="2"/>
        </w:numPr>
        <w:spacing w:after="80" w:line="280"/>
      </w:pPr>
      <w:r>
        <w:rPr>
          <w:sz w:val="22"/>
          <w:szCs w:val="22"/>
        </w:rPr>
        <w:t xml:space="preserve">估值与股价波动风险：截至2026年9月11日，公司动态市盈率约52.48倍，扣非动态市盈率约96.98倍，估值处于历史较高区域。若2027年盈利无法达到机构预测的约9.5亿至10亿元，或成交量无法持续配合技术面反弹，估值压缩和股价波动风险可能上升。</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西部超导的核心竞争力在于高端材料加工、全流程制造、长期研发积累和客户认证，而非矿产资源控制。高端钛合金仍是收入主体，超导业务具备较强技术特色，高温合金则处于扩产、认证和放量阶段。若航空材料需求恢复、高温合金放量持续，且超导磁体批量供货进一步转化为收入和利润，公司盈利存在修复空间。</w:t>
      </w:r>
    </w:p>
    <w:p>
      <w:pPr>
        <w:spacing w:after="160" w:line="300"/>
      </w:pPr>
      <w:r>
        <w:rPr>
          <w:sz w:val="22"/>
          <w:szCs w:val="22"/>
        </w:rPr>
        <w:t xml:space="preserve">短期看，公司面临产品结构调整、部分产品价格下降、研发投入增加及政府补助减少等因素影响，2026年上半年综合毛利率降至约30.09%，扣非盈利和经营现金流明显弱于上年同期。机构汇总预测预计2026年归母净利润约8.08亿元、2027年约9.62亿元，但这些预测建立在后续钛合金需求恢复和高温合金放量等假设之上，盈利兑现情况仍需结合订单、交付、毛利率及现金流变化观察。</w:t>
      </w:r>
    </w:p>
    <w:p>
      <w:pPr>
        <w:spacing w:after="160" w:line="300"/>
      </w:pPr>
      <w:r>
        <w:rPr>
          <w:sz w:val="22"/>
          <w:szCs w:val="22"/>
        </w:rPr>
        <w:t xml:space="preserve">公司未来需要重点改善原材料价格波动、客户集中度和应收账款资金占用问题，同时验证高温合金业务能否在收入快速增长的同时提升利润贡献。当前约52倍动态市盈率和约4.2倍市净率已处于较高水平，若盈利修复不及预期，估值承压可能放大股价波动；技术面上，52.2至52.8元为短期压力区域，后续走势对成交量、资金持续性和基本面预期较为敏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西部超导材料科技股份有限公司2024年年度报告 — https://static.cninfo.com.cn/finalpage/2025-04-22/1223188084.PDF</w:t>
      </w:r>
    </w:p>
    <w:p>
      <w:pPr>
        <w:spacing w:after="200"/>
      </w:pPr>
      <w:r>
        <w:rPr>
          <w:i/>
          <w:iCs/>
          <w:color w:val="595959"/>
          <w:sz w:val="18"/>
          <w:szCs w:val="18"/>
        </w:rPr>
        <w:t xml:space="preserve">西部超导(688122)_公司公告_西部超导：2025年年度报告新浪财经_新浪网 — https://money.finance.sina.com.cn/corp/view/vCB_AllBulletinDetail.php?id=12160107&amp;stockid=688122</w:t>
      </w:r>
    </w:p>
    <w:p>
      <w:pPr>
        <w:spacing w:after="200"/>
      </w:pPr>
      <w:r>
        <w:rPr>
          <w:i/>
          <w:iCs/>
          <w:color w:val="595959"/>
          <w:sz w:val="18"/>
          <w:szCs w:val="18"/>
        </w:rPr>
        <w:t xml:space="preserve">西部超导材料科技股份有限公司 2026 年面向专业投资者公开发行科技创新公司债券募集说明书 — https://static.sse.com.cn/bond/bridge2/disclosure/announcement/c/202603/52e1f3_20260324_KEU6.pdf?utm_source=openai</w:t>
      </w:r>
    </w:p>
    <w:p>
      <w:pPr>
        <w:spacing w:after="200"/>
      </w:pPr>
      <w:r>
        <w:rPr>
          <w:i/>
          <w:iCs/>
          <w:color w:val="595959"/>
          <w:sz w:val="18"/>
          <w:szCs w:val="18"/>
        </w:rPr>
        <w:t xml:space="preserve">金天钛业(688750)_公司公告_金天钛业：首次公开发行股票并在科创板上市招股说明书新浪财经_新浪网 — https://money.finance.sina.com.cn/corp/view/vCB_AllBulletinDetail.php?id=10591362&amp;stockid=688750&amp;utm_source=openai</w:t>
      </w:r>
    </w:p>
    <w:p>
      <w:pPr>
        <w:spacing w:after="200"/>
      </w:pPr>
      <w:r>
        <w:rPr>
          <w:i/>
          <w:iCs/>
          <w:color w:val="595959"/>
          <w:sz w:val="18"/>
          <w:szCs w:val="18"/>
        </w:rPr>
        <w:t xml:space="preserve">西部超导材料科技股份有限公司　　　　　　　　　　　　　　　　　　　　　　　　　问询函回复 — https://static.sse.com.cn/stock/disclosure/announcement/c/201905/000114_20190509_J9A8.pdf?utm_source=openai</w:t>
      </w:r>
    </w:p>
    <w:p>
      <w:pPr>
        <w:spacing w:after="200"/>
      </w:pPr>
      <w:r>
        <w:rPr>
          <w:i/>
          <w:iCs/>
          <w:color w:val="595959"/>
          <w:sz w:val="18"/>
          <w:szCs w:val="18"/>
        </w:rPr>
        <w:t xml:space="preserve">西部超导(688122)_公司公告_西部超导：2026年半年度报告新浪财经_新浪网 — https://money.finance.sina.com.cn/corp/view/vCB_AllBulletinDetail.php?id=12552748&amp;stockid=688122&amp;utm_source=openai</w:t>
      </w:r>
    </w:p>
    <w:p>
      <w:pPr>
        <w:spacing w:after="200"/>
      </w:pPr>
      <w:r>
        <w:rPr>
          <w:i/>
          <w:iCs/>
          <w:color w:val="595959"/>
          <w:sz w:val="18"/>
          <w:szCs w:val="18"/>
        </w:rPr>
        <w:t xml:space="preserve">西部超导(688122)_公司公告_西部超导：2026年半年度报告新浪财经_新浪网 — https://money.finance.sina.com.cn/corp/view/vCB_AllBulletinDetail.php?id=12552748&amp;stockid=688122</w:t>
      </w:r>
    </w:p>
    <w:p>
      <w:pPr>
        <w:spacing w:after="200"/>
      </w:pPr>
      <w:r>
        <w:rPr>
          <w:i/>
          <w:iCs/>
          <w:color w:val="595959"/>
          <w:sz w:val="18"/>
          <w:szCs w:val="18"/>
        </w:rPr>
        <w:t xml:space="preserve">西部超导(688122) 盈利预测_F10_同花顺金融服务网 — https://basic.10jqka.com.cn/688122/worth.html</w:t>
      </w:r>
    </w:p>
    <w:p>
      <w:pPr>
        <w:spacing w:after="200"/>
      </w:pPr>
      <w:r>
        <w:rPr>
          <w:i/>
          <w:iCs/>
          <w:color w:val="595959"/>
          <w:sz w:val="18"/>
          <w:szCs w:val="18"/>
        </w:rPr>
        <w:t xml:space="preserve">西部超导材料科技股份有限公司2025年年度报告 — https://static.cninfo.com.cn/finalpage/2026-04-24/1225162778.PDF?utm_source=openai</w:t>
      </w:r>
    </w:p>
    <w:p>
      <w:pPr>
        <w:spacing w:after="200"/>
      </w:pPr>
      <w:r>
        <w:rPr>
          <w:i/>
          <w:iCs/>
          <w:color w:val="595959"/>
          <w:sz w:val="18"/>
          <w:szCs w:val="18"/>
        </w:rPr>
        <w:t xml:space="preserve">西部超导(688122)2026半年报点评：业绩阶段性承压 持续深挖新域新质市场需求_公司研究_新浪财经_新浪网 — https://stock.finance.sina.com.cn/stock/go.php/vReport_Show/kind/company/rptid/841397461974/index.phtml</w:t>
      </w:r>
    </w:p>
    <w:p>
      <w:pPr>
        <w:spacing w:after="200"/>
      </w:pPr>
      <w:r>
        <w:rPr>
          <w:i/>
          <w:iCs/>
          <w:color w:val="595959"/>
          <w:sz w:val="18"/>
          <w:szCs w:val="18"/>
        </w:rPr>
        <w:t xml:space="preserve">www.fxbaogao.com — https://www.fxbaogao.com/detail/5653056</w:t>
      </w:r>
    </w:p>
    <w:p>
      <w:pPr>
        <w:spacing w:after="200"/>
      </w:pPr>
      <w:r>
        <w:rPr>
          <w:i/>
          <w:iCs/>
          <w:color w:val="595959"/>
          <w:sz w:val="18"/>
          <w:szCs w:val="18"/>
        </w:rPr>
        <w:t xml:space="preserve">开源证券：给予西部超导买入评级_券商研报_数据解析_股票_证券之星 — https://4g.stockstar.com/detail/RB2026082800030097</w:t>
      </w:r>
    </w:p>
    <w:p>
      <w:pPr>
        <w:spacing w:after="200"/>
      </w:pPr>
      <w:r>
        <w:rPr>
          <w:i/>
          <w:iCs/>
          <w:color w:val="595959"/>
          <w:sz w:val="18"/>
          <w:szCs w:val="18"/>
        </w:rPr>
        <w:t xml:space="preserve">西部超导(688122)_股票行情，行情首页_中财网 — https://quote.cfi.cn/quote.aspx?client=pc&amp;lm=ggyl&amp;stockid=90964&amp;utm_source=openai</w:t>
      </w:r>
    </w:p>
    <w:p>
      <w:pPr>
        <w:spacing w:after="200"/>
      </w:pPr>
      <w:r>
        <w:rPr>
          <w:i/>
          <w:iCs/>
          <w:color w:val="595959"/>
          <w:sz w:val="18"/>
          <w:szCs w:val="18"/>
        </w:rPr>
        <w:t xml:space="preserve">公司代码：688122                                公司简称：西部超导 — https://big5.sse.com.cn/site/cht/www.sse.com.cn/disclosure/listedinfo/announcement/c/new/2024-08-30/688122_20240830_20OY.pdf?utm_source=openai</w:t>
      </w:r>
    </w:p>
    <w:p>
      <w:pPr>
        <w:spacing w:after="200"/>
      </w:pPr>
      <w:r>
        <w:rPr>
          <w:i/>
          <w:iCs/>
          <w:color w:val="595959"/>
          <w:sz w:val="18"/>
          <w:szCs w:val="18"/>
        </w:rPr>
        <w:t xml:space="preserve">关于对西安聚能超导磁体科技股份有限公司采取出具警示函措施的决定_陕西监管局 — https://www.csrc.gov.cn/shaanxi/c104628/c7657385/content.shtml?utm_source=openai</w:t>
      </w:r>
    </w:p>
    <w:p>
      <w:pPr>
        <w:spacing w:after="200"/>
      </w:pPr>
      <w:r>
        <w:rPr>
          <w:i/>
          <w:iCs/>
          <w:color w:val="595959"/>
          <w:sz w:val="18"/>
          <w:szCs w:val="18"/>
        </w:rPr>
        <w:t xml:space="preserve">西部超导（688122）：中标中国航发沈阳黎明航空发动机有限责任公司采购项目，中标金额为1966.76万元_新浪财经_新浪网 — https://finance.sina.com.cn/stock/relnews/cn/2026-09-09/doc-inirfytq8359596.shtml?utm_source=openai</w:t>
      </w:r>
    </w:p>
    <w:p>
      <w:pPr>
        <w:spacing w:after="200"/>
      </w:pPr>
      <w:r>
        <w:rPr>
          <w:i/>
          <w:iCs/>
          <w:color w:val="595959"/>
          <w:sz w:val="18"/>
          <w:szCs w:val="18"/>
        </w:rPr>
        <w:t xml:space="preserve">西部超导：2026年上半年净利润3.45亿元 拟10派2元 _ 东方财富网 — https://finance.eastmoney.com/a/202608273855987777.html?utm_source=openai</w:t>
      </w:r>
    </w:p>
    <w:p>
      <w:pPr>
        <w:spacing w:after="200"/>
      </w:pPr>
      <w:r>
        <w:rPr>
          <w:i/>
          <w:iCs/>
          <w:color w:val="595959"/>
          <w:sz w:val="18"/>
          <w:szCs w:val="18"/>
        </w:rPr>
        <w:t xml:space="preserve">西部超导(688122)_公司公告_西部超导：关于2026年半年度利润分配方案的公告新浪财经_新浪网 — https://vip.stock.finance.sina.com.cn/corp/view/vCB_AllBulletinDetail.php?id=12552745&amp;stockid=688122&amp;utm_source=openai</w:t>
      </w:r>
    </w:p>
    <w:p>
      <w:pPr>
        <w:spacing w:after="200"/>
      </w:pPr>
      <w:r>
        <w:rPr>
          <w:i/>
          <w:iCs/>
          <w:color w:val="595959"/>
          <w:sz w:val="18"/>
          <w:szCs w:val="18"/>
        </w:rPr>
        <w:t xml:space="preserve">西部超导(688122)_公司公告_西部超导：关于2026年半年度计提资产减值准备的公告新浪财经_新浪网 — https://vip.stock.finance.sina.com.cn/corp/view/vCB_AllBulletinDetail.php?id=12552749&amp;stockid=688122&amp;utm_source=openai</w:t>
      </w:r>
    </w:p>
    <w:p>
      <w:pPr>
        <w:spacing w:after="200"/>
      </w:pPr>
      <w:r>
        <w:rPr>
          <w:i/>
          <w:iCs/>
          <w:color w:val="595959"/>
          <w:sz w:val="18"/>
          <w:szCs w:val="18"/>
        </w:rPr>
        <w:t xml:space="preserve">西部超导(688122)_公司公告_西部超导：关于控股子公司西安聚能超导磁体科技股份有限公司申请向不特定合格投资者公开发行股票并在北京证券交易所上市进展的提示性公告新浪财经_新浪网 — https://vip.stock.finance.sina.com.cn/corp/view/vCB_AllBulletinDetail.php?CompanyCode=80098211&amp;gather=1&amp;id=12420997&amp;utm_source=openai</w:t>
      </w:r>
    </w:p>
    <w:p>
      <w:pPr>
        <w:spacing w:after="200"/>
      </w:pPr>
      <w:r>
        <w:rPr>
          <w:i/>
          <w:iCs/>
          <w:color w:val="595959"/>
          <w:sz w:val="18"/>
          <w:szCs w:val="18"/>
        </w:rPr>
        <w:t xml:space="preserve">西部超导(688122)_公司公告_西部超导：股东减持股份结果公告新浪财经_新浪网 — https://money.finance.sina.com.cn/corp/view/vCB_AllBulletinDetail.php?id=12488266&amp;stockid=688122&amp;utm_source=openai</w:t>
      </w:r>
    </w:p>
    <w:p>
      <w:pPr>
        <w:spacing w:after="200"/>
      </w:pPr>
      <w:r>
        <w:rPr>
          <w:i/>
          <w:iCs/>
          <w:color w:val="595959"/>
          <w:sz w:val="18"/>
          <w:szCs w:val="18"/>
        </w:rPr>
        <w:t xml:space="preserve">西部超导：已完成向ITER项目供货任务_新浪财经_新浪网 — https://finance.sina.com.cn/roll/2026-08-20/doc-ininyncp8673462.shtml?utm_source=openai</w:t>
      </w:r>
    </w:p>
    <w:p>
      <w:pPr>
        <w:spacing w:after="200"/>
      </w:pPr>
      <w:r>
        <w:rPr>
          <w:i/>
          <w:iCs/>
          <w:color w:val="595959"/>
          <w:sz w:val="18"/>
          <w:szCs w:val="18"/>
        </w:rPr>
        <w:t xml:space="preserve">上海证券交易所科创板上市公司列表 — https://zh.wikipedia.org/wiki/%E4%B8%8A%E6%B5%B7%E8%AF%81%E5%88%B8%E4%BA%A4%E6%98%93%E6%89%80%E7%A7%91%E5%88%9B%E6%9D%BF%E4%B8%8A%E5%B8%82%E5%85%AC%E5%8F%B8%E5%88%97%E8%A1%A8?utm_source=openai</w:t>
      </w:r>
    </w:p>
    <w:p>
      <w:pPr>
        <w:spacing w:after="200"/>
      </w:pPr>
      <w:r>
        <w:rPr>
          <w:i/>
          <w:iCs/>
          <w:color w:val="595959"/>
          <w:sz w:val="18"/>
          <w:szCs w:val="18"/>
        </w:rPr>
        <w:t xml:space="preserve">西部超导(688122)_股票行情，行情首页_中财网 — https://quotewh.cfi.cn/quote.aspx?client=pc&amp;lm=outline&amp;stockid=90964&amp;utm_source=openai</w:t>
      </w:r>
    </w:p>
    <w:p>
      <w:pPr>
        <w:spacing w:after="200"/>
      </w:pPr>
      <w:r>
        <w:rPr>
          <w:i/>
          <w:iCs/>
          <w:color w:val="595959"/>
          <w:sz w:val="18"/>
          <w:szCs w:val="18"/>
        </w:rPr>
        <w:t xml:space="preserve">Western Superconducting Tech Co Ltd (688122)歷史價格 - Investing.com — https://hk.investing.com/equities/western-superconducting-tech-co-ltd-historical-data?utm_source=openai</w:t>
      </w:r>
    </w:p>
    <w:p>
      <w:pPr>
        <w:spacing w:after="200"/>
      </w:pPr>
      <w:r>
        <w:rPr>
          <w:i/>
          <w:iCs/>
          <w:color w:val="595959"/>
          <w:sz w:val="18"/>
          <w:szCs w:val="18"/>
        </w:rPr>
        <w:t xml:space="preserve">西部超导 (688122) - 历史交易数据 | 打板客网 — https://dabanke.com/hangqing-688122.html?utm_source=openai</w:t>
      </w:r>
    </w:p>
    <w:p>
      <w:pPr>
        <w:spacing w:after="200"/>
      </w:pPr>
      <w:r>
        <w:rPr>
          <w:i/>
          <w:iCs/>
          <w:color w:val="595959"/>
          <w:sz w:val="18"/>
          <w:szCs w:val="18"/>
        </w:rPr>
        <w:t xml:space="preserve">西部超导(688122)股票最新价格行情,实时走势图,股价分析预测_英为财情Investing.com — https://cn.investing.com/equities/western-superconducting-tech-co-ltd?utm_source=openai</w:t>
      </w:r>
    </w:p>
    <w:p>
      <w:pPr>
        <w:spacing w:after="200"/>
      </w:pPr>
      <w:r>
        <w:rPr>
          <w:i/>
          <w:iCs/>
          <w:color w:val="595959"/>
          <w:sz w:val="18"/>
          <w:szCs w:val="18"/>
        </w:rPr>
        <w:t xml:space="preserve">西部超导(688122)市盈率|估值|基本面 - 理杏仁 — https://www.lixinger.com/equity/company/detail/sh/688122/688122/fundamental/valuation/pe-ttm</w:t>
      </w:r>
    </w:p>
    <w:p>
      <w:pPr>
        <w:spacing w:after="200"/>
      </w:pPr>
      <w:r>
        <w:rPr>
          <w:i/>
          <w:iCs/>
          <w:color w:val="595959"/>
          <w:sz w:val="18"/>
          <w:szCs w:val="18"/>
        </w:rPr>
        <w:t xml:space="preserve">西部超导(688122)股票行情走势技术分析_未来预测_买卖操作建议_英为财情Investing.com — https://cn.investing.com/equities/western-superconducting-tech-co-ltd-technical?utm_source=openai</w:t>
      </w:r>
    </w:p>
    <w:p>
      <w:pPr>
        <w:spacing w:after="200"/>
      </w:pPr>
      <w:r>
        <w:rPr>
          <w:i/>
          <w:iCs/>
          <w:color w:val="595959"/>
          <w:sz w:val="18"/>
          <w:szCs w:val="18"/>
        </w:rPr>
        <w:t xml:space="preserve">国防军工行业9月11日资金流向日报_凤凰网 — https://finance.ifeng.com/c/8wKqOI1qSfT?utm_source=openai</w:t>
      </w:r>
    </w:p>
    <w:p>
      <w:pPr>
        <w:spacing w:after="200"/>
      </w:pPr>
      <w:r>
        <w:rPr>
          <w:i/>
          <w:iCs/>
          <w:color w:val="595959"/>
          <w:sz w:val="18"/>
          <w:szCs w:val="18"/>
        </w:rPr>
        <w:t xml:space="preserve">股票行情快报：西部超导（688122）9月10日主力资金净卖出953.03万元_主力研究_股票_证券之星 — https://wap.stockstar.com/detail/RB2026091000036854?utm_source=openai</w:t>
      </w:r>
    </w:p>
    <w:p>
      <w:pPr>
        <w:spacing w:after="200"/>
      </w:pPr>
      <w:r>
        <w:rPr>
          <w:i/>
          <w:iCs/>
          <w:color w:val="595959"/>
          <w:sz w:val="18"/>
          <w:szCs w:val="18"/>
        </w:rPr>
        <w:t xml:space="preserve">西部超导(688122) 最新动态_F10_同花顺金融服务网 — https://basic.10jqka.com.cn/688122/index.html?utm_source=openai</w:t>
      </w:r>
    </w:p>
    <w:p>
      <w:pPr>
        <w:spacing w:after="200"/>
      </w:pPr>
      <w:r>
        <w:rPr>
          <w:i/>
          <w:iCs/>
          <w:color w:val="595959"/>
          <w:sz w:val="18"/>
          <w:szCs w:val="18"/>
        </w:rPr>
        <w:t xml:space="preserve">本报告由AI基于公开渠道信息自动检索、整理并生成，信息截至 截至2026年9月11日收盘；部分技术指标数据截至2026年9月10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2026-09-13T12:42:34.643Z</dcterms:created>
  <dcterms:modified xsi:type="dcterms:W3CDTF">2026-09-13T12:42:34.643Z</dcterms:modified>
</cp:coreProperties>
</file>

<file path=docProps/custom.xml><?xml version="1.0" encoding="utf-8"?>
<Properties xmlns="http://schemas.openxmlformats.org/officeDocument/2006/custom-properties" xmlns:vt="http://schemas.openxmlformats.org/officeDocument/2006/docPropsVTypes"/>
</file>