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松井新材料集团股份有限公司 (688157)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行业：新型功能涂层材料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截至2026年9月11日收盘；部分技术指标（MACD、RSI及部分布林带数据）截至2026年9月10日，股东结构截至2026年6月30日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松井新材料集团股份有限公司当前最具决策意义的事实是盈利仍处于低谷：2026年上半年营业收入3.32亿元，同比下降4.49%，归母净利润亏损500.35万元，同比由盈转亏，综合毛利率降至39.51%。2025年全年收入7.22亿元，同比下降3.14%，归母净利润仅2,016.17万元，同比下降76.66%，显示收入降幅有限但盈利能力明显承压。2026年二季度单季归母净利润为183.49万元，较一季度实现扭亏，但尚不足以证明全年盈利已经稳定修复。</w:t>
      </w:r>
    </w:p>
    <w:p>
      <w:pPr>
        <w:spacing w:after="160" w:line="300"/>
      </w:pPr>
      <w:r>
        <w:rPr>
          <w:sz w:val="22"/>
          <w:szCs w:val="22"/>
        </w:rPr>
        <w:t xml:space="preserve">公司业务结构正在由高端消费电子向乘用车及新能源电池等新兴应用拓展。2026年上半年高端消费电子收入1.87亿元，同比下降23.11%，占收入56.42%；乘用车收入1.36亿元，同比增长38.88%，占比提升至40.93%，但汽车业务毛利率和规模效应仍低于成熟的消费电子业务。2025年乘用车收入同比增长68.68%，毛利率为32.34%，而高端消费电子毛利率为47.87%，业务切换对整体利润率形成阶段性压力。</w:t>
      </w:r>
    </w:p>
    <w:p>
      <w:pPr>
        <w:spacing w:after="160" w:line="300"/>
      </w:pPr>
      <w:r>
        <w:rPr>
          <w:sz w:val="22"/>
          <w:szCs w:val="22"/>
        </w:rPr>
        <w:t xml:space="preserve">公司具备配方研发、应用工艺适配、客户认证和柔性制造能力，2025年研发人员268人，涂料收入占主营业务收入约92.33%，高端消费电子客户及汽车产业链客户构成主要收入来源。与此同时，本部产能利用率为56.17%，直接材料成本占新型功能涂层材料业务总成本的72.20%，公司对基础化工原料议价能力相对有限，盈利对原材料价格、产品结构、客户定价及产能利用率较为敏感。</w:t>
      </w:r>
    </w:p>
    <w:p>
      <w:pPr>
        <w:spacing w:after="160" w:line="300"/>
      </w:pPr>
      <w:r>
        <w:rPr>
          <w:sz w:val="22"/>
          <w:szCs w:val="22"/>
        </w:rPr>
        <w:t xml:space="preserve">截至2026年9月11日，股价为18.21元，近五个交易日下跌约8.4%，低于MA5、MA10和MA20，MACD及短期均线显示技术面偏弱，17.60—18.00元为近期支撑观察区，19.10—19.35元为均线密集压力区。按机构预测，2026年至2028年归母净利润平均约为0.47亿元、0.89亿元和1.54亿元，但预测机构数量较少，当前估值对未来盈利修复的兑现程度高度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公司原名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湖南松井新材料股份有限公司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2020年6月9日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化学原料和化学制品制造业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战略性新兴产业分类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新型功能涂层材料制造行业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最新经营数据截至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2025年年度报告披露时间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通过“交互式”自主研发和“定制化柔性制造”，为客户提供涂料、油墨、胶黏剂等新型功能涂层材料及系统解决方案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端消费电子：面向手机及配件、笔记本电脑及配件、可穿戴设备、智能家电等领域，产品包括PVD涂料、触感涂料、外观涂料、AF防指纹涂料、低反射率PU涂料、低电阻涂料、抗菌涂料、水性涂料，以及保护油墨、装饰油墨、UV喷打油墨和水性油墨等。2025年收入49,134.07万元，占主营业务收入约69.39%，毛利率47.87%。</w:t>
      </w:r>
    </w:p>
    <w:p>
      <w:pPr>
        <w:pStyle w:val="ListParagraph"/>
        <w:numPr>
          <w:ilvl w:val="0"/>
          <w:numId w:val="2"/>
        </w:numPr>
        <w:spacing w:after="80" w:line="280"/>
      </w:pPr>
      <w:r>
        <w:rPr>
          <w:sz w:val="22"/>
          <w:szCs w:val="22"/>
        </w:rPr>
        <w:t xml:space="preserve">乘用车：面向乘用车内外饰零部件及逐步拓展的整车涂装领域，涉及汽车内外饰零部件涂料、PVD涂层材料、汽车外饰透波PVD技术、烧结油墨、车灯涂层、一体黑油墨、汽车原厂OEM涂料和汽车修补漆等。2025年收入21,569.20万元，占主营业务收入约30.46%，同比增长68.68%，毛利率32.34%。</w:t>
      </w:r>
    </w:p>
    <w:p>
      <w:pPr>
        <w:pStyle w:val="ListParagraph"/>
        <w:numPr>
          <w:ilvl w:val="0"/>
          <w:numId w:val="2"/>
        </w:numPr>
        <w:spacing w:after="80" w:line="280"/>
      </w:pPr>
      <w:r>
        <w:rPr>
          <w:sz w:val="22"/>
          <w:szCs w:val="22"/>
        </w:rPr>
        <w:t xml:space="preserve">特种装备及新兴业务：涉及航空航天、轨道交通、海洋装备、动力电池、固态电池、低空经济及eVTOL等应用场景，目前主要处于技术储备、项目验证和市场导入阶段，尚不能视为已形成与消费电子业务相当的成熟收入来源。</w:t>
      </w:r>
    </w:p>
    <w:p>
      <w:pPr>
        <w:pStyle w:val="ListParagraph"/>
        <w:numPr>
          <w:ilvl w:val="0"/>
          <w:numId w:val="2"/>
        </w:numPr>
        <w:spacing w:after="80" w:line="280"/>
      </w:pPr>
      <w:r>
        <w:rPr>
          <w:sz w:val="22"/>
          <w:szCs w:val="22"/>
        </w:rPr>
        <w:t xml:space="preserve">产品结构：2025年涂料收入65,375.77万元，占主营业务收入约92.33%，毛利率43.88%；油墨收入3,682.39万元，占比约5.20%，毛利率43.54%；胶黏剂及其他收入1,751.42万元，占比约2.47%，毛利率11.77%。</w:t>
      </w:r>
    </w:p>
    <w:p>
      <w:pPr>
        <w:pStyle w:val="ListParagraph"/>
        <w:numPr>
          <w:ilvl w:val="0"/>
          <w:numId w:val="2"/>
        </w:numPr>
        <w:spacing w:after="80" w:line="280"/>
      </w:pPr>
      <w:r>
        <w:rPr>
          <w:sz w:val="22"/>
          <w:szCs w:val="22"/>
        </w:rPr>
        <w:t xml:space="preserve">产能与研发：截至2025年12月31日，本部厂区产成品设计产能17,000吨，产能利用率56.17%，无在建产能披露。2024年末公司拥有3项PCT国际授权专利、123项国家授权发明专利、68项实用新型专利和1项软件著作权，专职技术研发人员268人。</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公司处于新型功能涂层材料产业链中游偏技术型环节，主要通过配方研发、应用工艺适配、客户认证和柔性制造，为高端消费电子、乘用车及特种装备客户提供功能涂层材料和解决方案。</w:t>
      </w:r>
    </w:p>
    <w:p>
      <w:pPr>
        <w:pStyle w:val="ListParagraph"/>
        <w:numPr>
          <w:ilvl w:val="0"/>
          <w:numId w:val="2"/>
        </w:numPr>
        <w:spacing w:after="80" w:line="280"/>
      </w:pPr>
      <w:r>
        <w:rPr>
          <w:sz w:val="22"/>
          <w:szCs w:val="22"/>
        </w:rPr>
        <w:t xml:space="preserve">主要采购投入包括溶剂、金属颜料、树脂和助剂。2025年采购量分别为7,017.25吨、250.13吨、2,580.94吨和601.44吨。</w:t>
      </w:r>
    </w:p>
    <w:p>
      <w:pPr>
        <w:pStyle w:val="ListParagraph"/>
        <w:numPr>
          <w:ilvl w:val="0"/>
          <w:numId w:val="2"/>
        </w:numPr>
        <w:spacing w:after="80" w:line="280"/>
      </w:pPr>
      <w:r>
        <w:rPr>
          <w:sz w:val="22"/>
          <w:szCs w:val="22"/>
        </w:rPr>
        <w:t xml:space="preserve">公司采用“战略采购、以销定采”的采购模式，通常按月结算。2025年溶剂、金属颜料、树脂和助剂采购价格分别同比下降13.41%、1.50%、2.87%和1.37%。</w:t>
      </w:r>
    </w:p>
    <w:p>
      <w:pPr>
        <w:pStyle w:val="ListParagraph"/>
        <w:numPr>
          <w:ilvl w:val="0"/>
          <w:numId w:val="2"/>
        </w:numPr>
        <w:spacing w:after="80" w:line="280"/>
      </w:pPr>
      <w:r>
        <w:rPr>
          <w:sz w:val="22"/>
          <w:szCs w:val="22"/>
        </w:rPr>
        <w:t xml:space="preserve">2025年直接材料成本29,106.37万元，占新型功能涂层材料业务总成本的72.20%，2024年为72.96%。部分原材料属于石油化工产业链产品，价格与原油价格存在较强相关性。</w:t>
      </w:r>
    </w:p>
    <w:p>
      <w:pPr>
        <w:pStyle w:val="ListParagraph"/>
        <w:numPr>
          <w:ilvl w:val="0"/>
          <w:numId w:val="2"/>
        </w:numPr>
        <w:spacing w:after="80" w:line="280"/>
      </w:pPr>
      <w:r>
        <w:rPr>
          <w:sz w:val="22"/>
          <w:szCs w:val="22"/>
        </w:rPr>
        <w:t xml:space="preserve">公司对树脂、溶剂等基础化工原料总体属于相对弱议价方或价格接受方，不具备对基础化工原料的绝对定价权。利润弹性主要取决于原材料价格、产品定价及成本转嫁能力、高毛利产品占比、产能利用率和规模效应。</w:t>
      </w:r>
    </w:p>
    <w:p>
      <w:pPr>
        <w:pStyle w:val="ListParagraph"/>
        <w:numPr>
          <w:ilvl w:val="0"/>
          <w:numId w:val="2"/>
        </w:numPr>
        <w:spacing w:after="80" w:line="280"/>
      </w:pPr>
      <w:r>
        <w:rPr>
          <w:sz w:val="22"/>
          <w:szCs w:val="22"/>
        </w:rPr>
        <w:t xml:space="preserve">产业链关系主要表现为“公司→模厂或一级供应商→终端品牌”。公司通常通过“终端指引、模厂落地”的方式开展业务，先获取终端客户供应商资格，再在终端许可下向模厂提供材料和工艺技术服务。</w:t>
      </w:r>
    </w:p>
    <w:p>
      <w:pPr>
        <w:pStyle w:val="ListParagraph"/>
        <w:numPr>
          <w:ilvl w:val="0"/>
          <w:numId w:val="2"/>
        </w:numPr>
        <w:spacing w:after="80" w:line="280"/>
      </w:pPr>
      <w:r>
        <w:rPr>
          <w:sz w:val="22"/>
          <w:szCs w:val="22"/>
        </w:rPr>
        <w:t xml:space="preserve">消费电子客户包括北美消费电子大客户、Microsoft、Google、Amazon、Meta、罗技、荣耀、小米、VIVO、OPPO等；部分客户名称因商业保密采用客户代号或概括性表述。</w:t>
      </w:r>
    </w:p>
    <w:p>
      <w:pPr>
        <w:pStyle w:val="ListParagraph"/>
        <w:numPr>
          <w:ilvl w:val="0"/>
          <w:numId w:val="2"/>
        </w:numPr>
        <w:spacing w:after="80" w:line="280"/>
      </w:pPr>
      <w:r>
        <w:rPr>
          <w:sz w:val="22"/>
          <w:szCs w:val="22"/>
        </w:rPr>
        <w:t xml:space="preserve">汽车客户体系包括比亚迪、北美T公司、吉利、蔚来、理想、小鹏、华为、小米、延锋、敏实集团、新泉股份等整车及零部件客户。</w:t>
      </w:r>
    </w:p>
    <w:p>
      <w:pPr>
        <w:pStyle w:val="ListParagraph"/>
        <w:numPr>
          <w:ilvl w:val="0"/>
          <w:numId w:val="2"/>
        </w:numPr>
        <w:spacing w:after="80" w:line="280"/>
      </w:pPr>
      <w:r>
        <w:rPr>
          <w:sz w:val="22"/>
          <w:szCs w:val="22"/>
        </w:rPr>
        <w:t xml:space="preserve">消费电子项目进入周期通常为1至4年；乘用车项目需经历终端认证、模厂认证、实验室测试、生产线验证和整车耐久性测试，部分项目认证周期可达2至3年。较高认证门槛带来一定客户黏性和技术溢价。</w:t>
      </w:r>
    </w:p>
    <w:p>
      <w:pPr>
        <w:pStyle w:val="ListParagraph"/>
        <w:numPr>
          <w:ilvl w:val="0"/>
          <w:numId w:val="2"/>
        </w:numPr>
        <w:spacing w:after="80" w:line="280"/>
      </w:pPr>
      <w:r>
        <w:rPr>
          <w:sz w:val="22"/>
          <w:szCs w:val="22"/>
        </w:rPr>
        <w:t xml:space="preserve">终端品牌、整车厂和模厂在价格、交付、质量、项目验证及持续降本方面仍具有较强话语权。公司产品虽影响终端产品外观、可靠性和良率，但尚不具备类似品牌消费品企业的强定价权。</w:t>
      </w:r>
    </w:p>
    <w:p>
      <w:pPr>
        <w:pStyle w:val="ListParagraph"/>
        <w:numPr>
          <w:ilvl w:val="0"/>
          <w:numId w:val="2"/>
        </w:numPr>
        <w:spacing w:after="80" w:line="280"/>
      </w:pPr>
      <w:r>
        <w:rPr>
          <w:sz w:val="22"/>
          <w:szCs w:val="22"/>
        </w:rPr>
        <w:t xml:space="preserve">2025年高端消费电子收入同比下降19.09%，乘用车收入同比增长68.68%；汽车业务仍处于扩张和导入阶段，毛利率低于成熟的高端消费电子业务。</w:t>
      </w:r>
    </w:p>
    <w:p>
      <w:pPr>
        <w:pStyle w:val="ListParagraph"/>
        <w:numPr>
          <w:ilvl w:val="0"/>
          <w:numId w:val="2"/>
        </w:numPr>
        <w:spacing w:after="80" w:line="280"/>
      </w:pPr>
      <w:r>
        <w:rPr>
          <w:sz w:val="22"/>
          <w:szCs w:val="22"/>
        </w:rPr>
        <w:t xml:space="preserve">截至2025年12月31日，公司应收账款余额31,872.64万元，坏账准备2,629.77万元，账面价值29,242.87万元；应收账款余额约占2025年营业收入的44.14%，低于2024年的53.68%，但绝对金额仍较大。2025年末前五名应收账款客户占全部应收账款的25.45%，2024年为31.59%；前五大应收账款客户期后回款比例分别为100.00%、92.76%、100.00%、100.00%和100.00%。应收账款占收入比例较高，表明公司需要为客户提供一定账期，产业链资金占用主要由公司承担；现有回款数据暂未显示明显重大信用风险。</w:t>
      </w:r>
    </w:p>
    <w:p>
      <w:pPr>
        <w:pStyle w:val="ListParagraph"/>
        <w:numPr>
          <w:ilvl w:val="0"/>
          <w:numId w:val="2"/>
        </w:numPr>
        <w:spacing w:after="80" w:line="280"/>
      </w:pPr>
      <w:r>
        <w:rPr>
          <w:sz w:val="22"/>
          <w:szCs w:val="22"/>
        </w:rPr>
        <w:t xml:space="preserve">前五名客户销售额占年度销售总额的比例为：2025年35.07%，2024年37.95%，2023年33.32%。上述数据分别对应各年度披露口径；纪要未提示该数据存在无法交叉核实的情况，但2025年部分终端客户名称因商业保密采用代号或概括性表述，具体客户销售额无法完整核实。公司客户集中度处于中等水平，但对高端消费电子品牌和汽车产业链客户仍有较明显依赖，重点项目收尾或导入延迟可能影响收入和利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主营业务毛利率约50.43%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约16.48%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毛利率较高，主要受原材料价格回落及产品结构变化影响；高端消费电子业务仍是主要利润来源。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约13.75%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消费电子需求回暖、收入恢复增长，乘用车业务收入同比增长47.23%；但汽车业务扩张以及研发和市场开拓投入增加，使净利率低于2022年。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48.77%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约11.59%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高端消费电子收入60,729.20万元、毛利率51.19%；乘用车收入12,787.41万元、毛利率37.26%。汽车业务增长较快但毛利率低于消费电子，业务结构变化对整体利润率形成压力。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43.07%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高端消费电子收入下降、部分高毛利项目收尾；汽车业务虽增长较快但毛利率仅32.34%，受到规模效应不足、产能爬坡和固定成本摊薄不足影响；新业务投入以及折旧摊销增加进一步压低净利率。</w:t>
            </w:r>
          </w:p>
        </w:tc>
      </w:tr>
    </w:tbl>
    <w:p>
      <w:pPr>
        <w:spacing w:before="200"/>
      </w:pPr>
    </w:p>
    <w:p>
      <w:pPr>
        <w:spacing w:after="160" w:line="300"/>
      </w:pPr>
      <w:r>
        <w:rPr>
          <w:sz w:val="22"/>
          <w:szCs w:val="22"/>
        </w:rPr>
        <w:t xml:space="preserve">公司位于新型功能涂层材料产业链中游偏技术型环节，既不是拥有资源定价权的上游企业，也不是拥有终端品牌溢价的下游企业。当前利润主要来自配方技术、应用工艺、客户认证和柔性制造能力；进一步提升利润率取决于高毛利消费电子项目恢复、汽车业务形成规模效应、产能利用率提升、油墨和胶黏剂等新产品放量，以及技术升级和原材料成本变化向客户的有效传导。</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3.3193亿元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归母净利润-500.35万元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同比由盈转亏，按公告口径同比下降约140.75%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同比下降3.14%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归母净利润2,016.17万元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同比下降76.66%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7.4553亿元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纪要未提供同比增速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归母净利润8,639.55万元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纪要未提供同比增速</w:t>
            </w:r>
          </w:p>
        </w:tc>
      </w:tr>
    </w:tbl>
    <w:p>
      <w:pPr>
        <w:spacing w:after="200"/>
      </w:pPr>
      <w:r>
        <w:rPr>
          <w:i/>
          <w:iCs/>
          <w:color w:val="595959"/>
          <w:sz w:val="18"/>
          <w:szCs w:val="18"/>
        </w:rPr>
        <w:t xml:space="preserve">最新一期正式财报为2026年半年度报告。截至2026年6月30日，公司综合毛利率为39.51%，较上年同期下降3.12个百分点；研发投入5,560.16万元，同比增长9.20%，研发投入占收入比例约16.75%。2026年第一季度营业收入约1.2498亿元、归母净利润约-683.84万元；第二季度营业收入约2.0695亿元、归母净利润183.49万元，实现单季扭亏。</w:t>
      </w:r>
    </w:p>
    <w:p>
      <w:pPr>
        <w:spacing w:after="160" w:line="300"/>
      </w:pPr>
      <w:r>
        <w:rPr>
          <w:sz w:val="22"/>
          <w:szCs w:val="22"/>
        </w:rPr>
        <w:t xml:space="preserve">公司2026年上半年收入同比小幅下降，但归母净利润由盈转亏，主要受高端消费电子领域收入同比下降23.11%、原材料价格上涨及产品和业务结构变化导致毛利率下降、研发投入增加等因素影响。2025年收入降幅较小，但利润降幅显著更大，反映毛利率下降、消费电子业务承压、产品及客户结构变化及高研发投入对盈利能力的影响。扣除非经常性损益后的2026年上半年净利润确认存在亏损，但具体金额需以半年报利润表及附注口径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页面截至2026年8月31日显示共有2家机构对2026年度业绩进行预测。卖方研报预计2026年至2028年归母净利润分别为0.49亿元、0.73亿元和1.06亿元，并维持“增持”评级。机构预测数量较少，且同花顺汇总值与单一机构明细存在差异，不能完全视为高置信度的广泛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同花顺机构汇总约6.99亿元；光大证券明细为6.99亿元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机构平均约0.47亿元，区间约0.45亿至0.49亿元；光大证券明细为4,900万元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纪要未直接披露机构预测同比增速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机构平均约0.25元，区间约0.24至0.26元；光大证券明细为0.26元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同花顺机构汇总约8.05亿元；另一家机构收入预测明细未完整展示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机构平均约0.89亿元，区间约0.73亿至1.04亿元；光大证券明细为7,300万元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纪要未直接披露机构预测同比增速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机构平均约0.47元，区间约0.39至0.55元；光大证券明细为0.39元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同花顺机构汇总约9.48亿元；另一家机构收入预测明细未完整展示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机构平均约1.54亿元，区间约1.06亿至2.02亿元；光大证券明细为1.06亿元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纪要未直接披露机构预测同比增速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机构平均约0.82元，区间约0.57至1.08元；光大证券明细为0.57元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2026年EPS预测约0.29元；未披露目标价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2026年EPS预测约0.31元；未披露目标价</w:t>
            </w:r>
          </w:p>
        </w:tc>
      </w:tr>
    </w:tbl>
    <w:p>
      <w:pPr>
        <w:spacing w:before="200"/>
      </w:pPr>
    </w:p>
    <w:p>
      <w:pPr>
        <w:spacing w:after="160" w:line="300"/>
      </w:pPr>
      <w:r>
        <w:rPr>
          <w:sz w:val="22"/>
          <w:szCs w:val="22"/>
        </w:rPr>
        <w:t xml:space="preserve">截至2026年9月11日收盘，股价为18.21元，总股本约1.5643亿股，总市值约28.49亿元。以2025年末归属于母公司股东净资产13.5190亿元、基本每股净资产约8.64元计算，PB约2.11倍；按2026年半年报期末净资产和股本估算，PB大致处于2.1至2.2倍区间。按截至2026年6月30日滚动12个月归母净利润约287.87万元计算，滚动PE约989倍，主要由于最近12个月利润基数极低，部分行情网站显示PE TTM约1,200倍，存在数据更新时间、利润口径或数据源差异。按机构平均EPS计算，2026年至2028年前瞻PE分别约72.8倍、38.7倍和22.2倍；按光大证券单一预测EPS计算，分别约70.0倍、46.7倍和31.9倍。当前估值高度依赖2026年至2028年的盈利修复能否兑现，PB相较TTM PE更适合作为辅助估值指标。公司目前仍处于盈利低谷，2026年第二季度虽实现单季扭亏，但归母净利润仅183.49万元，尚不足以证明全年盈利已稳定修复。核心风险包括消费电子需求恢复不及预期、乘用车业务放量不及预期、原材料价格上涨、毛利率继续下滑、研发投入转化周期延长，以及新能源电池、固态电池、航空航天和低空经济等新业务商业化进度低于预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高管增持计划实施完毕</w:t>
      </w:r>
    </w:p>
    <w:p>
      <w:pPr>
        <w:spacing w:after="160" w:line="300"/>
      </w:pPr>
      <w:r>
        <w:rPr>
          <w:sz w:val="22"/>
          <w:szCs w:val="22"/>
        </w:rPr>
        <w:t xml:space="preserve">公司于2026年9月12日披露公告编号为2026-035的《关于部分董事、高级管理人员增持股份结果公告》。缪培凯累计增持53,709股，累计增持金额99.99万元，增持完成后持股354,755股；熊开阔累计增持44,945股，累计增持金额80.93万元，增持金额80.93万元，增持完成后持股56,755股。两名增持主体均达到各自增持计划金额下限，增持计划实施完毕。本次增持不触及要约收购，不会导致公司控股股东及实际控制人发生变化。</w:t>
      </w:r>
    </w:p>
    <w:p>
      <w:pPr>
        <w:pStyle w:val="Heading2"/>
        <w:spacing w:after="120" w:before="240"/>
      </w:pPr>
      <w:r>
        <w:rPr>
          <w:b/>
          <w:bCs/>
          <w:color w:val="2E74B5"/>
          <w:sz w:val="24"/>
          <w:szCs w:val="24"/>
        </w:rPr>
        <w:t xml:space="preserve">4.2 9月仍有董事、高管增持交易</w:t>
      </w:r>
    </w:p>
    <w:p>
      <w:pPr>
        <w:spacing w:after="160" w:line="300"/>
      </w:pPr>
      <w:r>
        <w:rPr>
          <w:sz w:val="22"/>
          <w:szCs w:val="22"/>
        </w:rPr>
        <w:t xml:space="preserve">缪培凯于2026年9月3日增持1万股，成交均价18.45元/股；熊开阔于2026年9月8日增持1万股，成交均价20.15元/股。两名高管合计增持金额约180.92万元，占公司总股本比例约0.05%，主要体现管理层对公司长期价值的信心，但增持规模相对公司市值较小，不能直接等同于公司基本面已经反转。</w:t>
      </w:r>
    </w:p>
    <w:p>
      <w:pPr>
        <w:pStyle w:val="Heading2"/>
        <w:spacing w:after="120" w:before="240"/>
      </w:pPr>
      <w:r>
        <w:rPr>
          <w:b/>
          <w:bCs/>
          <w:color w:val="2E74B5"/>
          <w:sz w:val="24"/>
          <w:szCs w:val="24"/>
        </w:rPr>
        <w:t xml:space="preserve">4.3 投资者关系活动披露业务结构变化</w:t>
      </w:r>
    </w:p>
    <w:p>
      <w:pPr>
        <w:spacing w:after="160" w:line="300"/>
      </w:pPr>
      <w:r>
        <w:rPr>
          <w:sz w:val="22"/>
          <w:szCs w:val="22"/>
        </w:rPr>
        <w:t xml:space="preserve">公司于2026年9月2日参加2026年湖南辖区上市公司投资者网上集体接待日暨半年度业绩说明会。2026年上半年，高端消费电子领域实现营业收入1.87亿元，占上半年营业收入的56.42%；乘用车领域实现营业收入1.36亿元，同比增长38.88%，收入占比由上年同期的28.15%提升至40.93%；新能源电池等战略新兴业务已开始形成收入贡献。公司表示，发展战略并非简单从消费电子转向汽车，而是围绕高端功能性涂层材料向乘用车、新能源电池及其他先进应用场景拓展。相关未来市场空间、项目进展及增长潜力表述不构成业绩承诺。</w:t>
      </w:r>
    </w:p>
    <w:p>
      <w:pPr>
        <w:pStyle w:val="Heading2"/>
        <w:spacing w:after="120" w:before="240"/>
      </w:pPr>
      <w:r>
        <w:rPr>
          <w:b/>
          <w:bCs/>
          <w:color w:val="2E74B5"/>
          <w:sz w:val="24"/>
          <w:szCs w:val="24"/>
        </w:rPr>
        <w:t xml:space="preserve">4.4 2026年半年度业绩承压</w:t>
      </w:r>
    </w:p>
    <w:p>
      <w:pPr>
        <w:spacing w:after="160" w:line="300"/>
      </w:pPr>
      <w:r>
        <w:rPr>
          <w:sz w:val="22"/>
          <w:szCs w:val="22"/>
        </w:rPr>
        <w:t xml:space="preserve">公司于2026年8月29日披露2026年半年度报告。2026年上半年营业收入为33,193.38万元，同比下降4.49%；归属于上市公司股东的净利润为-500.35万元，同比下降140.75%，由上年同期盈利转为亏损。高端消费电子领域收入同比下降23.11%，综合毛利率为39.51%，较上年同期下降3.12个百分点；研发投入为5,560.16万元，同比增长9.20%。乘用车业务增长尚未完全抵消消费电子业务下滑、原材料价格上涨及产品结构变化对盈利能力的影响。</w:t>
      </w:r>
    </w:p>
    <w:p>
      <w:pPr>
        <w:pStyle w:val="Heading2"/>
        <w:spacing w:after="120" w:before="240"/>
      </w:pPr>
      <w:r>
        <w:rPr>
          <w:b/>
          <w:bCs/>
          <w:color w:val="2E74B5"/>
          <w:sz w:val="24"/>
          <w:szCs w:val="24"/>
        </w:rPr>
        <w:t xml:space="preserve">4.5 电芯绝缘UV喷墨打印设备合同</w:t>
      </w:r>
    </w:p>
    <w:p>
      <w:pPr>
        <w:spacing w:after="160" w:line="300"/>
      </w:pPr>
      <w:r>
        <w:rPr>
          <w:sz w:val="22"/>
          <w:szCs w:val="22"/>
        </w:rPr>
        <w:t xml:space="preserve">公司控股子公司湖南三迪已与某能源科技股份有限公司签订电芯绝缘UV喷墨打印设备合同，单笔合同金额约3,000万元人民币。该事项属于业务拓展信息，目前公开信息不足以判断其对全年业绩的实际贡献规模和确认节奏。</w:t>
      </w:r>
    </w:p>
    <w:p>
      <w:pPr>
        <w:pStyle w:val="Heading2"/>
        <w:spacing w:after="120" w:before="240"/>
      </w:pPr>
      <w:r>
        <w:rPr>
          <w:b/>
          <w:bCs/>
          <w:color w:val="2E74B5"/>
          <w:sz w:val="24"/>
          <w:szCs w:val="24"/>
        </w:rPr>
        <w:t xml:space="preserve">4.6 股东及董监高减持计划期限临近</w:t>
      </w:r>
    </w:p>
    <w:p>
      <w:pPr>
        <w:spacing w:after="160" w:line="300"/>
      </w:pPr>
      <w:r>
        <w:rPr>
          <w:sz w:val="22"/>
          <w:szCs w:val="22"/>
        </w:rPr>
        <w:t xml:space="preserve">公司于2026年5月25日披露股东及董事、高级管理人员减持股份计划，计划实施期间为2026年6月16日至2026年9月16日，合计拟减持股份不超过公司总股本的1.23%。计划涉及王卫国、缪培凯、李玉良、汪斌及控股股东一致行动人凌剑芳等股东。其中，王卫国计划减持不超过273,383股，缪培凯计划减持不超过62,718股，李玉良计划减持不超过35,130股。</w:t>
      </w:r>
    </w:p>
    <w:p>
      <w:pPr>
        <w:pStyle w:val="Heading2"/>
        <w:spacing w:after="120" w:before="240"/>
      </w:pPr>
      <w:r>
        <w:rPr>
          <w:b/>
          <w:bCs/>
          <w:color w:val="2E74B5"/>
          <w:sz w:val="24"/>
          <w:szCs w:val="24"/>
        </w:rPr>
        <w:t xml:space="preserve">4.7 减持计划尚未披露最终结果</w:t>
      </w:r>
    </w:p>
    <w:p>
      <w:pPr>
        <w:spacing w:after="160" w:line="300"/>
      </w:pPr>
      <w:r>
        <w:rPr>
          <w:sz w:val="22"/>
          <w:szCs w:val="22"/>
        </w:rPr>
        <w:t xml:space="preserve">截至2026年9月13日，尚未检索到公司就上述整体减持计划披露实施完毕、期限届满或最终实施数量的正式公告。由于减持期限截至2026年9月16日，后续仍需关注期限届满后的实施结果公告。缪培凯同时出现在增持计划和此前披露的减持计划中，现有公开资料不能据此判断其此前减持计划已经取消或全部未实施，最终应以公司后续减持结果公告为准。</w:t>
      </w:r>
    </w:p>
    <w:p>
      <w:pPr>
        <w:pStyle w:val="Heading2"/>
        <w:spacing w:after="120" w:before="240"/>
      </w:pPr>
      <w:r>
        <w:rPr>
          <w:b/>
          <w:bCs/>
          <w:color w:val="2E74B5"/>
          <w:sz w:val="24"/>
          <w:szCs w:val="24"/>
        </w:rPr>
        <w:t xml:space="preserve">4.8 近期未披露新增股份回购方案</w:t>
      </w:r>
    </w:p>
    <w:p>
      <w:pPr>
        <w:spacing w:after="160" w:line="300"/>
      </w:pPr>
      <w:r>
        <w:rPr>
          <w:sz w:val="22"/>
          <w:szCs w:val="22"/>
        </w:rPr>
        <w:t xml:space="preserve">截至2026年9月13日，未检索到公司在2026年9月新披露股份回购方案、回购进展公告或回购结果公告。公司此前曾实施与员工持股计划相关的股份回购安排，2026年半年度报告披露，2025年员工持股计划使用公司回购专用证券账户中的426,900股股票，以21.14元/股的价格完成非交易过户。该事项不属于2026年9月新增回购计划。</w:t>
      </w:r>
    </w:p>
    <w:p>
      <w:pPr>
        <w:pStyle w:val="Heading2"/>
        <w:spacing w:after="120" w:before="240"/>
      </w:pPr>
      <w:r>
        <w:rPr>
          <w:b/>
          <w:bCs/>
          <w:color w:val="2E74B5"/>
          <w:sz w:val="24"/>
          <w:szCs w:val="24"/>
        </w:rPr>
        <w:t xml:space="preserve">4.9 监管事项主要为年报问询回复</w:t>
      </w:r>
    </w:p>
    <w:p>
      <w:pPr>
        <w:spacing w:after="160" w:line="300"/>
      </w:pPr>
      <w:r>
        <w:rPr>
          <w:sz w:val="22"/>
          <w:szCs w:val="22"/>
        </w:rPr>
        <w:t xml:space="preserve">公司于2026年6月11日披露《关于2025年年度报告信息披露监管问询函的回复公告》，涉及上海证券交易所科创板公司管理部对公司2025年年度报告的信息披露监管问询。截至2026年9月13日，未检索到公司在9月被监管机构采取新的立案调查、行政处罚、纪律处分或监管措施的公告。</w:t>
      </w:r>
    </w:p>
    <w:p>
      <w:pPr>
        <w:pStyle w:val="Heading2"/>
        <w:spacing w:after="120" w:before="240"/>
      </w:pPr>
      <w:r>
        <w:rPr>
          <w:b/>
          <w:bCs/>
          <w:color w:val="2E74B5"/>
          <w:sz w:val="24"/>
          <w:szCs w:val="24"/>
        </w:rPr>
        <w:t xml:space="preserve">4.10 近期未披露重大资产重组或并购交易</w:t>
      </w:r>
    </w:p>
    <w:p>
      <w:pPr>
        <w:spacing w:after="160" w:line="300"/>
      </w:pPr>
      <w:r>
        <w:rPr>
          <w:sz w:val="22"/>
          <w:szCs w:val="22"/>
        </w:rPr>
        <w:t xml:space="preserve">截至2026年9月13日，未检索到公司在2026年9月披露新的重大资产重组、股权收购、并购交易或终止并购公告。公司过去关于未来可能围绕产业链开展投资并购的表述属于战略表述，当前没有足够公开信息证明公司近期存在已签署或已公告的重大并购交易。</w:t>
      </w:r>
    </w:p>
    <w:p>
      <w:pPr>
        <w:pStyle w:val="Heading2"/>
        <w:spacing w:after="120" w:before="240"/>
      </w:pPr>
      <w:r>
        <w:rPr>
          <w:b/>
          <w:bCs/>
          <w:color w:val="2E74B5"/>
          <w:sz w:val="24"/>
          <w:szCs w:val="24"/>
        </w:rPr>
        <w:t xml:space="preserve">4.11 近期消息面综合判断</w:t>
      </w:r>
    </w:p>
    <w:p>
      <w:pPr>
        <w:spacing w:after="160" w:line="300"/>
      </w:pPr>
      <w:r>
        <w:rPr>
          <w:sz w:val="22"/>
          <w:szCs w:val="22"/>
        </w:rPr>
        <w:t xml:space="preserve">截至2026年9月13日，公司近期公告主线为高管增持计划完成、汽车涂层业务持续增长、上半年业绩承压及减持计划进入尾声。积极因素包括董事及高级管理人员完成合计约180.92万元增持、乘用车业务收入同比增长38.88%以及收入占比提升至40.93%；主要压力包括上半年营业收入同比下降、归母净利润转为亏损、消费电子业务收入同比下降23.11%及综合毛利率下滑。在减持计划尚未披露最终结果前，股东减持压力仍具有不确定性。截至该日期，未发现新的股份回购计划、重大并购重组公告、9月新增监管处罚或新的业绩预告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松井股份（688157），最新公司名称为松井新材料集团股份有限公司，上海证券交易所科创板上市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下跌0.33元，跌幅1.78%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18.26元/18.45元/17.59元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约5,183万元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约34.2亿—34.8亿元；不同平台因采样时间、股本口径或价格更新时间不同而存在差异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52周低点15.71元；52周高点约37.3元。最新收盘价较52周低点高约15.9%，较52周高点低约51%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不具备有效参考意义；因2026年上半年归母净利润亏损、TTM利润基数接近于零，部分第三方页面显示约1,200倍等不同数值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近5个交易日走势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2026年9月7日至9月11日收盘价由19.88元降至18.21元，区间跌幅约8.4%；9月9日单日下跌6.38%，9月10日、9月11日继续收跌</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短线价格重新回到前期震荡区间下沿附近，弱势特征明显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近5个交易日成交额及换手率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平均成交额约5,690万元，平均换手率约1.59%；各日换手率为1.88%、1.22%、1.74%、1.57%、1.53%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9月11日成交额和换手率低于9月9日，下跌后暂未出现明显的放量承接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截至2026年9月11日，MA5约19.09元、MA10约19.14元、MA20约19.17元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收盘价18.21元低于三条均线，分别低约4.6%、4.9%和5.0%；MA5略低于MA10、MA20，短期均线结构偏弱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截至2026年9月10日，DIF为-0.02，DEA约-0.00，MACD柱为-0.04；9月11日最终更新值缺失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MACD柱位于零轴下方，且DIF低于DEA，短线动能偏空；数据不能直接视为9月11日收盘后的最终指标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截至2026年9月10日，RSI6为34.9、RSI12为42.7、RSI24为43.7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RSI6接近30的传统超卖阈值但尚未进入极端超卖区间，RSI12和RSI24处于中性偏弱位置，不能仅据此推断即将反弹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截至2026年9月10日：上轨19.95元、中轨19.20元、下轨18.45元；纳入9月11日收盘价后的粗略测算：上轨约20.03元、中轨约19.17元、下轨约18.32元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9月11日收盘价18.21元略低于粗略测算的布林下轨，价格处于弱势区间；布林数值受标准差计算方法、复权方式和更新时点影响，仅为测算值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截至2026年9月10日的近10个交易日主力资金合计净流入约99万元，5天净流入、5天净流出；9月11日主力资金净卖出约142.17万元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资金流向尚未形成稳定连续性；“主力资金”通常按大单、超大单成交金额推算，不等同于真实机构身份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截至2026年6月30日，前十大股东合计持股约70.66%，第一大股东持股约48.22%；可识别的基金、保险和私募机构持股合计约9.23%，若将香港中央结算纳入机构或机构通道口径则约11.92%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筹码集中度较高，实际可自由交易筹码相对有限，价格对增量资金可能较敏感；该股东结构为季度末快照，不能代表2026年9月11日实时持仓</w:t>
            </w:r>
          </w:p>
        </w:tc>
      </w:tr>
    </w:tbl>
    <w:p>
      <w:pPr>
        <w:spacing w:before="200"/>
      </w:pPr>
    </w:p>
    <w:p>
      <w:pPr>
        <w:spacing w:after="160" w:line="300"/>
      </w:pPr>
      <w:r>
        <w:rPr>
          <w:sz w:val="22"/>
          <w:szCs w:val="22"/>
        </w:rPr>
        <w:t xml:space="preserve">截至2026年9月11日，松井股份收盘价为18.21元，近5个交易日股价下跌约8.4%，当前低于MA5、MA10和MA20，MACD及短周期均线均显示短线偏弱。股价略低于纳入9月11日数据后粗略测算的布林下轨，但RSI6仅接近传统超卖阈值，尚未形成极端超卖信号。近期成交额和换手率低于9月9日下跌时水平，暂未观察到明显放量承接；主力资金近10个交易日合计小幅净流入，但9月11日转为净卖出，连续性不足。技术面短期重点观察17.60—18.00元支撑区及19.10—19.35元均线密集压力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19.10—19.35元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对应MA5、MA10、MA20约19.09—19.17元及近期反弹成交密集区；若反弹至该区间但成交量未明显放大，可能继续受到均线压制</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19.90—20.40元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对应9月7日高点20.00元、9月8日高点20.38元及布林上轨约20.0元附近；有效突破并站稳后，短线弱势结构才可能出现较明显修复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17.60—18.00元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对应9月11日盘中低点17.59元及近期7月下旬至8月初交易支撑区域；若有效失守，短线可能继续向52周低点方向寻找支撑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15.70—16.00元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接近52周低点15.71元；若17.60—18.00元支撑有效失守，市场可能重新测试该前低区域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成交量和资金流向的主观启发式判断，不是统计概率）：价格区间约17.60—19.20元。触发条件包括：17.60—18.00元附近获得承接、没有持续放量下跌，成交额维持约4,500万—6,000万元的近期常态区间，且主力资金不再连续净流出。若反弹至19.10—19.30元但未能放量突破，可能继续围绕短期均线震荡</w:t>
      </w:r>
    </w:p>
    <w:p>
      <w:pPr>
        <w:pStyle w:val="ListParagraph"/>
        <w:numPr>
          <w:ilvl w:val="0"/>
          <w:numId w:val="2"/>
        </w:numPr>
        <w:spacing w:after="80" w:line="280"/>
      </w:pPr>
      <w:r>
        <w:rPr>
          <w:sz w:val="22"/>
          <w:szCs w:val="22"/>
        </w:rPr>
        <w:t xml:space="preserve">偏弱下行（权重中等；属于基于当前技术形态和量价条件的主观启发式判断，不是统计概率）：价格区间约15.70—17.60元。触发条件包括：收盘有效跌破17.60元，单日成交额持续高于近期常态，且下跌过程中出现连续主力净流出。若17.60元附近支撑失效，下一观察区域为16.00元附近，进一步可能测试15.71元的52周低点</w:t>
      </w:r>
    </w:p>
    <w:p>
      <w:pPr>
        <w:pStyle w:val="ListParagraph"/>
        <w:numPr>
          <w:ilvl w:val="0"/>
          <w:numId w:val="2"/>
        </w:numPr>
        <w:spacing w:after="80" w:line="280"/>
      </w:pPr>
      <w:r>
        <w:rPr>
          <w:sz w:val="22"/>
          <w:szCs w:val="22"/>
        </w:rPr>
        <w:t xml:space="preserve">反弹走强（权重偏低但并非没有可能；属于基于当前技术形态和量价条件的主观启发式判断，不是统计概率）：价格区间约19.20—20.40元。触发条件包括：重新站上19.20元附近的MA20和布林中轨，单日成交额明显高于近期约5,700万元均值，最好连续两个交易日达到约7,000万—8,000万元以上，且主力资金转为连续净流入。若进一步突破20.00—20.40元，短线技术形态才可能由弱势反弹转向更强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1.53%，成交额约5,183万元；近5个交易日平均换手率约1.59%，平均成交额约5,690万元。当日换手率略低于同期科创板股票换手率中位数约1.83%，交易活跃度一般，并非高换手博弈状态。截至2026年6月30日，公司前十大股东持股约70.66%，第一大股东持股约48.22%；前十大股东中包含高毅资产、保险资金、香港中央结算及私募基金等机构类持有人，但股东结构为季度末快照，存在数据滞后，不能直接判断2026年9月期间机构是否仍持有或发生调仓。高集中度意味着实际可自由交易筹码相对有限，价格对有限增量资金可能较敏感，日常成交深度及盘口承接可能不均衡。</w:t>
      </w:r>
    </w:p>
    <w:p>
      <w:pPr>
        <w:spacing w:after="160" w:line="300"/>
      </w:pPr>
      <w:r>
        <w:rPr>
          <w:sz w:val="22"/>
          <w:szCs w:val="22"/>
        </w:rPr>
        <w:t xml:space="preserve">若未来一周连续两日单日成交额达到约7,000万元以上，且股价重新站上19.20—19.35元区间，可视为短线资金参与度较当前有所改善；若放量同时跌破17.60元，则应理解为下行压力增强，而非简单的放量看多。</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观察股价能否守住17.60—18.00元支撑区；若失守，下一观察区域为15.70—16.00元。</w:t>
      </w:r>
    </w:p>
    <w:p>
      <w:pPr>
        <w:pStyle w:val="ListParagraph"/>
        <w:numPr>
          <w:ilvl w:val="0"/>
          <w:numId w:val="2"/>
        </w:numPr>
        <w:spacing w:after="80" w:line="280"/>
      </w:pPr>
      <w:r>
        <w:rPr>
          <w:sz w:val="22"/>
          <w:szCs w:val="22"/>
        </w:rPr>
        <w:t xml:space="preserve">观察股价能否重新站上19.10—19.35元均线密集压力区，并进一步观察19.90—20.40元压力区的突破情况。</w:t>
      </w:r>
    </w:p>
    <w:p>
      <w:pPr>
        <w:pStyle w:val="ListParagraph"/>
        <w:numPr>
          <w:ilvl w:val="0"/>
          <w:numId w:val="2"/>
        </w:numPr>
        <w:spacing w:after="80" w:line="280"/>
      </w:pPr>
      <w:r>
        <w:rPr>
          <w:sz w:val="22"/>
          <w:szCs w:val="22"/>
        </w:rPr>
        <w:t xml:space="preserve">观察突破时成交额能否连续达到约7,000万元以上，而不是单日脉冲放量。</w:t>
      </w:r>
    </w:p>
    <w:p>
      <w:pPr>
        <w:pStyle w:val="ListParagraph"/>
        <w:numPr>
          <w:ilvl w:val="0"/>
          <w:numId w:val="2"/>
        </w:numPr>
        <w:spacing w:after="80" w:line="280"/>
      </w:pPr>
      <w:r>
        <w:rPr>
          <w:sz w:val="22"/>
          <w:szCs w:val="22"/>
        </w:rPr>
        <w:t xml:space="preserve">观察主力资金是否由9月11日净流出转为连续净流入，但不宜将单日资金流向等同于机构真实持仓变化。以上均为观察思路，非买入、卖出或持有指令。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新型功能涂层材料行业呈现“国际综合化工巨头占据高端和规模优势，专业型企业在细分应用领域竞争”的格局。行业竞争壁垒主要体现为研发能力、产品定制化、客户认证、应用工艺服务和供应链能力。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综合型国际企业包括阿克苏诺贝尔、PPG、贝格、耐涂可、精工、帝国和巴斯夫，通常具备较长发展历史、广泛产品线、较强研发和资金实力，覆盖汽车、工业、消费电子及其他涂层应用。</w:t>
      </w:r>
    </w:p>
    <w:p>
      <w:pPr>
        <w:pStyle w:val="ListParagraph"/>
        <w:numPr>
          <w:ilvl w:val="0"/>
          <w:numId w:val="2"/>
        </w:numPr>
        <w:spacing w:after="80" w:line="280"/>
      </w:pPr>
      <w:r>
        <w:rPr>
          <w:sz w:val="22"/>
          <w:szCs w:val="22"/>
        </w:rPr>
        <w:t xml:space="preserve">专业型企业包括艾仕得、湘江关西、卡秀和松井股份，通常聚焦高端消费电子、汽车、工业涂层、油墨或胶黏剂等一个或少数几个细分领域，依靠定制化研发、客户认证和应用服务形成竞争壁垒。</w:t>
      </w:r>
    </w:p>
    <w:p>
      <w:pPr>
        <w:pStyle w:val="ListParagraph"/>
        <w:numPr>
          <w:ilvl w:val="0"/>
          <w:numId w:val="2"/>
        </w:numPr>
        <w:spacing w:after="80" w:line="280"/>
      </w:pPr>
      <w:r>
        <w:rPr>
          <w:sz w:val="22"/>
          <w:szCs w:val="22"/>
        </w:rPr>
        <w:t xml:space="preserve">汽车涂层市场仍由国际品牌占据较强优势。公司2025年年报引用《涂界》数据称，中国乘用车涂料市场外资品牌市占率长期超过80%，车身涂料市场外资品牌市占率超过90%。该数据为公司年报引用的第三方数据，本纪要未找到相同口径的独立官方统计进行交叉验证，应视为公司年报引用数据。</w:t>
      </w:r>
    </w:p>
    <w:p>
      <w:pPr>
        <w:pStyle w:val="ListParagraph"/>
        <w:numPr>
          <w:ilvl w:val="0"/>
          <w:numId w:val="2"/>
        </w:numPr>
        <w:spacing w:after="80" w:line="280"/>
      </w:pPr>
      <w:r>
        <w:rPr>
          <w:sz w:val="22"/>
          <w:szCs w:val="22"/>
        </w:rPr>
        <w:t xml:space="preserve">新能源汽车、智能座舱、个性化外观和环保法规推动涂层材料向水性化、低VOC、高耐候、个性化和功能化发展，为国产企业提供切入机会，同时也提高了验证周期和技术门槛。</w:t>
      </w:r>
    </w:p>
    <w:p>
      <w:pPr>
        <w:pStyle w:val="ListParagraph"/>
        <w:numPr>
          <w:ilvl w:val="0"/>
          <w:numId w:val="2"/>
        </w:numPr>
        <w:spacing w:after="80" w:line="280"/>
      </w:pPr>
      <w:r>
        <w:rPr>
          <w:sz w:val="22"/>
          <w:szCs w:val="22"/>
        </w:rPr>
        <w:t xml:space="preserve">公司2025年产能利用率为56.17%，该指标按本部厂区产成品总设计产能披露，不能直接等同于每条产品线的实际利用率。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PPG</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全球综合型涂层材料企业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在汽车原厂漆、汽车修补漆、工业涂料和消费品涂层等领域具有较强实力，规模更大、汽车涂层体系更完整、全球客户覆盖更广，是松井在汽车涂层方向的重要国际竞争者。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阿克苏诺贝尔</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全球综合型涂料企业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拥有汽车、工业、建筑及特种涂料等产品线，优势在于品牌、技术积累、全球供应链和客户认证体系，业务范围明显广于松井。</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巴斯夫</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大型综合化工集团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覆盖汽车涂料、工业材料和功能化学品等领域，与松井的直接可比性主要集中在汽车和工业功能涂层；其规模、研发资源和综合化工协同能力明显更强。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艾仕得</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专业涂层材料企业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重点覆盖汽车原厂漆、汽车修补漆及工业涂层，与松井在汽车涂层领域的业务重合度较高，是较为直接的国际专业型竞争者。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湘江关西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国内汽车涂层企业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具备汽车涂料和工业涂料业务基础，与松井在汽车涂层国产替代、整车及零部件客户导入方面具有较强可比性，但消费电子涂层侧重点不同。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东来技术、广信材料</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国内局部业务可比企业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可在部分汽车涂料或功能涂层业务上进行比较，但产品结构、客户结构和应用场景不同，不宜直接进行整体估值或盈利能力类比。</w:t>
            </w:r>
          </w:p>
        </w:tc>
      </w:tr>
    </w:tbl>
    <w:p>
      <w:pPr>
        <w:spacing w:before="200"/>
      </w:pPr>
    </w:p>
    <w:p>
      <w:pPr>
        <w:spacing w:after="160" w:line="300"/>
      </w:pPr>
      <w:r>
        <w:rPr>
          <w:sz w:val="22"/>
          <w:szCs w:val="22"/>
        </w:rPr>
        <w:t xml:space="preserve">松井股份在高端消费电子功能涂层领域具备较强的客户认证、定制化研发和应用服务能力，并向乘用车及特种装备等领域拓展；与PPG、阿克苏诺贝尔、巴斯夫等综合型国际企业相比，规模、产品线和全球化能力存在差距；与艾仕得、湘江关西等专业型或区域型企业相比，松井的业务重点更突出高端消费电子与汽车功能涂层的结合。国内A股市场不存在与松井业务结构完全相同的单一可比公司，同行业公司的产品分类口径与松井“乘用车领域业务”并不完全一致。</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高端消费电子业务下滑风险：2026年上半年该领域收入同比下降23.11%，2025年全年收入同比下降19.09%。若重点消费电子项目收尾后新项目导入不及预期，公司高毛利收入来源可能继续收缩。</w:t>
      </w:r>
    </w:p>
    <w:p>
      <w:pPr>
        <w:pStyle w:val="ListParagraph"/>
        <w:numPr>
          <w:ilvl w:val="0"/>
          <w:numId w:val="2"/>
        </w:numPr>
        <w:spacing w:after="80" w:line="280"/>
      </w:pPr>
      <w:r>
        <w:rPr>
          <w:sz w:val="22"/>
          <w:szCs w:val="22"/>
        </w:rPr>
        <w:t xml:space="preserve">乘用车业务盈利不及预期风险：2026年上半年乘用车收入同比增长38.88%，但2025年该业务毛利率仅32.34%，低于高端消费电子业务；若汽车项目认证、量产爬坡或客户降本要求导致放量慢于预期，收入增长可能无法转化为利润增长。</w:t>
      </w:r>
    </w:p>
    <w:p>
      <w:pPr>
        <w:pStyle w:val="ListParagraph"/>
        <w:numPr>
          <w:ilvl w:val="0"/>
          <w:numId w:val="2"/>
        </w:numPr>
        <w:spacing w:after="80" w:line="280"/>
      </w:pPr>
      <w:r>
        <w:rPr>
          <w:sz w:val="22"/>
          <w:szCs w:val="22"/>
        </w:rPr>
        <w:t xml:space="preserve">毛利率及原材料成本风险：2025年直接材料成本占新型功能涂层材料业务总成本的72.20%，公司对树脂、溶剂等基础化工原料相对缺乏定价权。若原材料价格上涨，且产品价格、客户结构或成本转嫁能力无法同步改善，综合毛利率可能继续下滑。</w:t>
      </w:r>
    </w:p>
    <w:p>
      <w:pPr>
        <w:pStyle w:val="ListParagraph"/>
        <w:numPr>
          <w:ilvl w:val="0"/>
          <w:numId w:val="2"/>
        </w:numPr>
        <w:spacing w:after="80" w:line="280"/>
      </w:pPr>
      <w:r>
        <w:rPr>
          <w:sz w:val="22"/>
          <w:szCs w:val="22"/>
        </w:rPr>
        <w:t xml:space="preserve">研发投入转化风险：2026年上半年研发投入5,560.16万元，同比增长9.20%，占收入约16.75%。若消费电子、汽车、新能源电池、固态电池及其他特种应用项目验证周期延长或商业化不及预期，持续研发投入可能继续压低利润而未形成相应收入。</w:t>
      </w:r>
    </w:p>
    <w:p>
      <w:pPr>
        <w:pStyle w:val="ListParagraph"/>
        <w:numPr>
          <w:ilvl w:val="0"/>
          <w:numId w:val="2"/>
        </w:numPr>
        <w:spacing w:after="80" w:line="280"/>
      </w:pPr>
      <w:r>
        <w:rPr>
          <w:sz w:val="22"/>
          <w:szCs w:val="22"/>
        </w:rPr>
        <w:t xml:space="preserve">新兴业务商业化风险：新能源电池等战略新兴业务已开始形成收入贡献，但航空航天、轨道交通、海洋装备、固态电池、低空经济及eVTOL等业务仍主要处于技术储备、项目验证或市场导入阶段，不能视为已形成与消费电子相当的成熟收入来源；电芯绝缘UV喷墨打印设备合同的收入确认节奏和实际利润贡献也存在不确定性。</w:t>
      </w:r>
    </w:p>
    <w:p>
      <w:pPr>
        <w:pStyle w:val="ListParagraph"/>
        <w:numPr>
          <w:ilvl w:val="0"/>
          <w:numId w:val="2"/>
        </w:numPr>
        <w:spacing w:after="80" w:line="280"/>
      </w:pPr>
      <w:r>
        <w:rPr>
          <w:sz w:val="22"/>
          <w:szCs w:val="22"/>
        </w:rPr>
        <w:t xml:space="preserve">产能利用率不足风险：截至2025年末本部厂区产成品设计产能为17,000吨，产能利用率仅56.17%，且汽车业务仍处于扩张和导入阶段。若订单增长不足或产品结构调整不及预期，固定成本摊薄不足可能继续压制盈利能力。</w:t>
      </w:r>
    </w:p>
    <w:p>
      <w:pPr>
        <w:pStyle w:val="ListParagraph"/>
        <w:numPr>
          <w:ilvl w:val="0"/>
          <w:numId w:val="2"/>
        </w:numPr>
        <w:spacing w:after="80" w:line="280"/>
      </w:pPr>
      <w:r>
        <w:rPr>
          <w:sz w:val="22"/>
          <w:szCs w:val="22"/>
        </w:rPr>
        <w:t xml:space="preserve">应收账款和客户集中风险：2025年末应收账款余额为3.19亿元，约占全年营业收入44.14%，公司需要承担较大产业链资金占用。前五大客户销售额占比35.07%，公司仍依赖高端消费电子品牌和汽车产业链客户，重点客户项目延迟、订单变化或回款周期拉长可能影响现金流。</w:t>
      </w:r>
    </w:p>
    <w:p>
      <w:pPr>
        <w:pStyle w:val="ListParagraph"/>
        <w:numPr>
          <w:ilvl w:val="0"/>
          <w:numId w:val="2"/>
        </w:numPr>
        <w:spacing w:after="80" w:line="280"/>
      </w:pPr>
      <w:r>
        <w:rPr>
          <w:sz w:val="22"/>
          <w:szCs w:val="22"/>
        </w:rPr>
        <w:t xml:space="preserve">股东减持及股价波动风险：此前披露的股东及董监高减持计划拟减持不超过总股本的1.23%，截至2026年9月13日尚未披露整体计划最终实施结果；在高管增持计划完成但减持结果尚不明确的情况下，相关持股变动可能增加短期供给压力。技术面上股价已低于多条短期均线，且近期下跌后未出现明显放量承接，若失守17.60—18.00元区域，价格波动可能进一步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乘用车涂层业务持续导入、汽车客户认证和项目放量，以及新能源电池、固态电池、航空航天、低空经济等新兴应用的商业化拓展。乘用车业务收入占比提升、2026年上半年新能源电池等战略新兴业务开始形成收入贡献，表明业务多元化已有一定进展；电芯绝缘UV喷墨打印设备3,000万元合同也为新业务拓展提供了具体项目线索，但其收入确认节奏和全年业绩贡献仍无法由现有信息确定。</w:t>
      </w:r>
    </w:p>
    <w:p>
      <w:pPr>
        <w:spacing w:after="160" w:line="300"/>
      </w:pPr>
      <w:r>
        <w:rPr>
          <w:sz w:val="22"/>
          <w:szCs w:val="22"/>
        </w:rPr>
        <w:t xml:space="preserve">盈利修复仍需多个条件同时兑现，包括高端消费电子需求和高毛利项目恢复、汽车业务形成规模效应、产能利用率提升、原材料价格压力缓解，以及研发投入转化为订单和收入。2026年上半年研发投入同比增长9.20%至5,560.16万元，在收入下降和毛利率下行背景下进一步压缩了当期利润；汽车业务虽保持较快增长，但尚未完全抵消消费电子下滑及成本上升影响。</w:t>
      </w:r>
    </w:p>
    <w:p>
      <w:pPr>
        <w:spacing w:after="160" w:line="300"/>
      </w:pPr>
      <w:r>
        <w:rPr>
          <w:sz w:val="22"/>
          <w:szCs w:val="22"/>
        </w:rPr>
        <w:t xml:space="preserve">综合来看，公司处于业务结构调整和盈利修复验证期，未来业绩弹性较大但确定性仍有限。投资者需要重点跟踪消费电子收入是否止跌、汽车业务毛利率和规模效应能否改善、新兴业务订单的实际收入确认，以及减持计划最终实施结果；管理层合计约180.92万元的增持体现一定信心，但相对公司规模较小，不能直接等同于基本面已经反转。</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https://m.hx168.com.cn/stock/F10/688157.html?utm_source=openai — https://m.hx168.com.cn/stock/F10/688157.html?utm_source=openai</w:t>
      </w:r>
    </w:p>
    <w:p>
      <w:pPr>
        <w:spacing w:after="200"/>
      </w:pPr>
      <w:r>
        <w:rPr>
          <w:i/>
          <w:iCs/>
          <w:color w:val="595959"/>
          <w:sz w:val="18"/>
          <w:szCs w:val="18"/>
        </w:rPr>
        <w:t xml:space="preserve">松井新材料集团股份有限公司2025年年度报告 — https://stockmc.xueqiu.com/202604/688157_20260424_H9PZ.pdf</w:t>
      </w:r>
    </w:p>
    <w:p>
      <w:pPr>
        <w:spacing w:after="200"/>
      </w:pPr>
      <w:r>
        <w:rPr>
          <w:i/>
          <w:iCs/>
          <w:color w:val="595959"/>
          <w:sz w:val="18"/>
          <w:szCs w:val="18"/>
        </w:rPr>
        <w:t xml:space="preserve">松井股份(688157)_公司公告_松井股份：2024年年度报告新浪财经_新浪网 — https://vip.stock.finance.sina.com.cn/corp/view/vCB_AllBulletinDetail.php?id=11025714&amp;stockid=688157</w:t>
      </w:r>
    </w:p>
    <w:p>
      <w:pPr>
        <w:spacing w:after="200"/>
      </w:pPr>
      <w:r>
        <w:rPr>
          <w:i/>
          <w:iCs/>
          <w:color w:val="595959"/>
          <w:sz w:val="18"/>
          <w:szCs w:val="18"/>
        </w:rPr>
        <w:t xml:space="preserve">松井股份(688157)_公司公告_松井股份：天健会计师事务所(特殊普通合伙)关于松井新材料集团股份有限公司2025年度审计报告新浪财经_新浪网 — https://money.finance.sina.com.cn/corp/view/vCB_AllBulletinDetail.php?id=12162984&amp;stockid=688157&amp;utm_source=openai</w:t>
      </w:r>
    </w:p>
    <w:p>
      <w:pPr>
        <w:spacing w:after="200"/>
      </w:pPr>
      <w:r>
        <w:rPr>
          <w:i/>
          <w:iCs/>
          <w:color w:val="595959"/>
          <w:sz w:val="18"/>
          <w:szCs w:val="18"/>
        </w:rPr>
        <w:t xml:space="preserve">股票简称：松井股份                                   股票代码：688157 — https://static.cninfo.com.cn/finalpage/2024-01-09/1218832335.PDF?utm_source=openai</w:t>
      </w:r>
    </w:p>
    <w:p>
      <w:pPr>
        <w:spacing w:after="200"/>
      </w:pPr>
      <w:r>
        <w:rPr>
          <w:i/>
          <w:iCs/>
          <w:color w:val="595959"/>
          <w:sz w:val="18"/>
          <w:szCs w:val="18"/>
        </w:rPr>
        <w:t xml:space="preserve">松井股份(688157)_公司公告_松井股份：2023年年度报告新浪财经_新浪网 — https://vip.stock.finance.sina.com.cn/corp/view/vCB_AllBulletinDetail.php?id=10070239&amp;stockid=688157</w:t>
      </w:r>
    </w:p>
    <w:p>
      <w:pPr>
        <w:spacing w:after="200"/>
      </w:pPr>
      <w:r>
        <w:rPr>
          <w:i/>
          <w:iCs/>
          <w:color w:val="595959"/>
          <w:sz w:val="18"/>
          <w:szCs w:val="18"/>
        </w:rPr>
        <w:t xml:space="preserve">松井新材料集团股份有限公司2024 年年度报告 — https://www.100est.com/res/financial-report/r2024/SH688157_202504281663889040.pdf?utm_source=openai</w:t>
      </w:r>
    </w:p>
    <w:p>
      <w:pPr>
        <w:spacing w:after="200"/>
      </w:pPr>
      <w:r>
        <w:rPr>
          <w:i/>
          <w:iCs/>
          <w:color w:val="595959"/>
          <w:sz w:val="18"/>
          <w:szCs w:val="18"/>
        </w:rPr>
        <w:t xml:space="preserve">松井股份(688157)_公司公告_松井股份：天健会计师事务所(特殊普通合伙)关于松井新材料集团股份有限公司2025年年度报告信息披露监管问询函专项说明新浪财经_新浪网 — https://vip.stock.finance.sina.com.cn/corp/view/vCB_AllBulletinDetail.php?id=12385332&amp;stockid=688157&amp;utm_source=openai</w:t>
      </w:r>
    </w:p>
    <w:p>
      <w:pPr>
        <w:spacing w:after="200"/>
      </w:pPr>
      <w:r>
        <w:rPr>
          <w:i/>
          <w:iCs/>
          <w:color w:val="595959"/>
          <w:sz w:val="18"/>
          <w:szCs w:val="18"/>
        </w:rPr>
        <w:t xml:space="preserve">松井股份(688157)_公司公告_松井股份：2026年半年度报告新浪财经_新浪网 — https://money.finance.sina.com.cn/corp/view/vCB_AllBulletinDetail.php?id=12567873&amp;stockid=688157</w:t>
      </w:r>
    </w:p>
    <w:p>
      <w:pPr>
        <w:spacing w:after="200"/>
      </w:pPr>
      <w:r>
        <w:rPr>
          <w:i/>
          <w:iCs/>
          <w:color w:val="595959"/>
          <w:sz w:val="18"/>
          <w:szCs w:val="18"/>
        </w:rPr>
        <w:t xml:space="preserve">松井股份 (688157) - 历史交易数据 | 打板客网 — https://dabanke.com/hangqing-688157.html</w:t>
      </w:r>
    </w:p>
    <w:p>
      <w:pPr>
        <w:spacing w:after="200"/>
      </w:pPr>
      <w:r>
        <w:rPr>
          <w:i/>
          <w:iCs/>
          <w:color w:val="595959"/>
          <w:sz w:val="18"/>
          <w:szCs w:val="18"/>
        </w:rPr>
        <w:t xml:space="preserve">松井股份(688157) 最新动态_F10_同花顺金融服务网 — https://basic.10jqka.com.cn/688157/</w:t>
      </w:r>
    </w:p>
    <w:p>
      <w:pPr>
        <w:spacing w:after="200"/>
      </w:pPr>
      <w:r>
        <w:rPr>
          <w:i/>
          <w:iCs/>
          <w:color w:val="595959"/>
          <w:sz w:val="18"/>
          <w:szCs w:val="18"/>
        </w:rPr>
        <w:t xml:space="preserve">688157股票价格和图表 - SSE:688157 — TradingView — https://cn.tradingview.com/symbols/SSE-688157/?utm_source=openai</w:t>
      </w:r>
    </w:p>
    <w:p>
      <w:pPr>
        <w:spacing w:after="200"/>
      </w:pPr>
      <w:r>
        <w:rPr>
          <w:i/>
          <w:iCs/>
          <w:color w:val="595959"/>
          <w:sz w:val="18"/>
          <w:szCs w:val="18"/>
        </w:rPr>
        <w:t xml:space="preserve">松井股份(688157.SH) 股票行情_历史数据_主力资金 - 大波浪数据 — https://www.yyqyx.com/s/688157.SH</w:t>
      </w:r>
    </w:p>
    <w:p>
      <w:pPr>
        <w:spacing w:after="200"/>
      </w:pPr>
      <w:r>
        <w:rPr>
          <w:i/>
          <w:iCs/>
          <w:color w:val="595959"/>
          <w:sz w:val="18"/>
          <w:szCs w:val="18"/>
        </w:rPr>
        <w:t xml:space="preserve">本报告由AI基于公开渠道信息自动检索、整理并生成，信息截至 截至2026年9月11日收盘；部分技术指标（MACD、RSI及部分布林带数据）截至2026年9月10日，股东结构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2026-09-13T15:17:30.055Z</dcterms:created>
  <dcterms:modified xsi:type="dcterms:W3CDTF">2026-09-13T15:17:30.055Z</dcterms:modified>
</cp:coreProperties>
</file>

<file path=docProps/custom.xml><?xml version="1.0" encoding="utf-8"?>
<Properties xmlns="http://schemas.openxmlformats.org/officeDocument/2006/custom-properties" xmlns:vt="http://schemas.openxmlformats.org/officeDocument/2006/docPropsVTypes"/>
</file>