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山东威高骨科材料股份有限公司（威高骨科） (688161)</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行业：骨科医疗器械</w:t>
      </w:r>
    </w:p>
    <w:p>
      <w:pPr>
        <w:jc w:val="center"/>
      </w:pPr>
      <w:r>
        <w:rPr>
          <w:color w:val="595959"/>
          <w:sz w:val="22"/>
          <w:szCs w:val="22"/>
        </w:rPr>
        <w:t xml:space="preserve">报告日期：2026年9月13日</w:t>
      </w:r>
    </w:p>
    <w:p>
      <w:pPr>
        <w:jc w:val="center"/>
      </w:pPr>
      <w:r>
        <w:rPr>
          <w:color w:val="595959"/>
          <w:sz w:val="20"/>
          <w:szCs w:val="20"/>
        </w:rPr>
        <w:t xml:space="preserve">截至2026年9月11日收盘；价格、成交量及技术指标存在不同平台数据口径差异，均线、MACD、RSI和布林带采用不复权日线数据。</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威高骨科2025年实现营业收入15.23亿元，同比增长4.82%，归母净利润2.69亿元，同比增长20.06%，利润增速明显高于收入增速；但2026年上半年收入7.04亿元、归母净利润1.32亿元，分别同比下降4.93%和6.85%，扣非归母净利润及经营活动现金流也分别下降7.28%和24.59%，显示业绩修复仍面临阶段性压力。</w:t>
      </w:r>
    </w:p>
    <w:p>
      <w:pPr>
        <w:spacing w:after="160" w:line="300"/>
      </w:pPr>
      <w:r>
        <w:rPr>
          <w:sz w:val="22"/>
          <w:szCs w:val="22"/>
        </w:rPr>
        <w:t xml:space="preserve">公司收入结构正在由传统骨科植入物向高毛利业务延伸。2025年骨科植入物及耗材收入9.62亿元，同比下降3.76%，呈现销量增长7.22%但收入下降的“以量补价”；骨科智能设备与耗材收入同比增长25.68%，功能修复与组织再生收入同比增长19.54%，后者毛利率达到83.08%。产品结构升级、组织修复业务扩张、智能设备及脊柱微创放量，是后续盈利改善的主要逻辑。</w:t>
      </w:r>
    </w:p>
    <w:p>
      <w:pPr>
        <w:spacing w:after="160" w:line="300"/>
      </w:pPr>
      <w:r>
        <w:rPr>
          <w:sz w:val="22"/>
          <w:szCs w:val="22"/>
        </w:rPr>
        <w:t xml:space="preserve">公司仍以经销渠道为主，2025年经销收入占主营业务收入约91.3%，终端价格、医院报量、配送体系及集采政策对经营结果影响较大。供应商和客户集中度较2024年部分下降，2025年末前五大客户应收账款占比为29.41%，应收账款周转天数降至约65.3天，回款效率有所改善，但渠道账期、返利及集采后的价格管理压力仍然存在。</w:t>
      </w:r>
    </w:p>
    <w:p>
      <w:pPr>
        <w:spacing w:after="160" w:line="300"/>
      </w:pPr>
      <w:r>
        <w:rPr>
          <w:sz w:val="22"/>
          <w:szCs w:val="22"/>
        </w:rPr>
        <w:t xml:space="preserve">截至2026年9月11日，公司股价收于21.65元，市净率约2.06倍、动态市盈率约32倍，较52周高点回落约41.1%。技术上股价低于MA5、MA10和MA20，MACD轻微偏弱，21.35—21.50元为支撑观察区，22.10—22.80元为主要压力区；当前尚未形成明确的中期趋势，价格表现仍取决于业绩兑现和市场资金变化。</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688161</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威高骨科</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2021年6月30日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注册地址及主要经营基地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山东威海</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主营业务</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骨科医疗器械的研发、生产和销售，主要覆盖骨科植入物及耗材、骨科智能设备与耗材、功能修复与组织再生产品</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15.23亿元，同比增长4.82%</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2025年归母净利润</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2.69亿元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2025年收入结构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骨科植入物及耗材收入9.62亿元，占主营业务收入约63.8%；骨科智能设备与耗材收入1.13亿元，占比约7.5%；功能修复与组织再生收入4.30亿元，占比约28.5%</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口径说明</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2025年年报对产品口径进行了重分类，传统脊柱、创伤、关节、运动医学等合并为“骨科植入物及耗材”，与2024年分产品数据不宜直接按旧口径比较</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骨科植入物及耗材：包括脊柱、创伤、关节、运动医学和颅颌面外科产品。主要产品包括脊柱内固定系统、椎间融合器、锁定接骨板、髓内钉、关节假体、交叉韧带重建系统、半月板修复系统及3D打印个性化颅骨缺损修补板等。2025年收入9.62亿元，占主营业务收入约63.8%，同比下降3.76%；销量625.87万件，同比增长7.22%。</w:t>
      </w:r>
    </w:p>
    <w:p>
      <w:pPr>
        <w:pStyle w:val="ListParagraph"/>
        <w:numPr>
          <w:ilvl w:val="0"/>
          <w:numId w:val="2"/>
        </w:numPr>
        <w:spacing w:after="80" w:line="280"/>
      </w:pPr>
      <w:r>
        <w:rPr>
          <w:sz w:val="22"/>
          <w:szCs w:val="22"/>
        </w:rPr>
        <w:t xml:space="preserve">骨科智能设备与耗材：包括骨科内窥镜、能量平台、动力系统和手术工具、椎体成形系统、骨科介入穿刺针、脊柱微创产品及相关设备，并通过参股或关联公司布局负重锥形束CT、骨科手术机器人和智能导航等数字骨科方向。2025年收入1.13亿元，占主营业务收入约7.5%，同比增长25.68%，毛利率54.68%。</w:t>
      </w:r>
    </w:p>
    <w:p>
      <w:pPr>
        <w:pStyle w:val="ListParagraph"/>
        <w:numPr>
          <w:ilvl w:val="0"/>
          <w:numId w:val="2"/>
        </w:numPr>
        <w:spacing w:after="80" w:line="280"/>
      </w:pPr>
      <w:r>
        <w:rPr>
          <w:sz w:val="22"/>
          <w:szCs w:val="22"/>
        </w:rPr>
        <w:t xml:space="preserve">功能修复与组织再生：包括富血小板血浆制备用套装、封闭创伤负压引流套装、自固化磷酸钙人工骨、载rhBMP-2生物活性产品等，应用于骨缺损填充、脊柱融合、关节融合及颅颌面、口腔颌面外科等场景。2025年收入4.30亿元，占主营业务收入约28.5%，同比增长19.54%，毛利率83.08%。</w:t>
      </w:r>
    </w:p>
    <w:p>
      <w:pPr>
        <w:pStyle w:val="ListParagraph"/>
        <w:numPr>
          <w:ilvl w:val="0"/>
          <w:numId w:val="2"/>
        </w:numPr>
        <w:spacing w:after="80" w:line="280"/>
      </w:pPr>
      <w:r>
        <w:rPr>
          <w:sz w:val="22"/>
          <w:szCs w:val="22"/>
        </w:rPr>
        <w:t xml:space="preserve">制造与研发能力：公司采用机加工、数控加工、3D打印、自动化生产和精益制造等工艺；截至2024年末，公司及子公司拥有第I类产品备案凭证301项、第II类医疗器械注册证41项、第III类医疗器械注册证158项，合计拥有371项专利。</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威高骨科位于骨科医疗器械产业链的中游偏下游。公司向上游采购医用金属、高分子材料、陶瓷及关节假体毛坯等材料，通过精密加工、表面处理、3D打印、产品注册和质量控制，形成脊柱、创伤、关节、运动医学、智能设备及组织修复产品；下游主要面向医院、医疗机构及骨科耗材经销商、配送商。</w:t>
      </w:r>
    </w:p>
    <w:p>
      <w:pPr>
        <w:pStyle w:val="ListParagraph"/>
        <w:numPr>
          <w:ilvl w:val="0"/>
          <w:numId w:val="2"/>
        </w:numPr>
        <w:spacing w:after="80" w:line="280"/>
      </w:pPr>
      <w:r>
        <w:rPr>
          <w:sz w:val="22"/>
          <w:szCs w:val="22"/>
        </w:rPr>
        <w:t xml:space="preserve">主要采购内容包括医用钛材、特种不锈钢、钴铬钼合金、超高分子量聚乙烯、植入级PEEK材料、陶瓷球头及内衬、关节毛坯等，主要材料合计约占原材料金额的75%左右。</w:t>
      </w:r>
    </w:p>
    <w:p>
      <w:pPr>
        <w:pStyle w:val="ListParagraph"/>
        <w:numPr>
          <w:ilvl w:val="0"/>
          <w:numId w:val="2"/>
        </w:numPr>
        <w:spacing w:after="80" w:line="280"/>
      </w:pPr>
      <w:r>
        <w:rPr>
          <w:sz w:val="22"/>
          <w:szCs w:val="22"/>
        </w:rPr>
        <w:t xml:space="preserve">2025年前五名供应商采购额为1.44亿元，占年度采购总额40.54%；其中关联方采购额5,592.69万元，占年度采购总额15.71%。2024年前五名供应商采购额占比为57.04%，按纪要披露，供应商集中度较2024年有所下降。</w:t>
      </w:r>
    </w:p>
    <w:p>
      <w:pPr>
        <w:pStyle w:val="ListParagraph"/>
        <w:numPr>
          <w:ilvl w:val="0"/>
          <w:numId w:val="2"/>
        </w:numPr>
        <w:spacing w:after="80" w:line="280"/>
      </w:pPr>
      <w:r>
        <w:rPr>
          <w:sz w:val="22"/>
          <w:szCs w:val="22"/>
        </w:rPr>
        <w:t xml:space="preserve">公司核心进口原材料国产替代取得进展，有助于提升供应链稳定性并降低采购风险；但医用钛材、植入级PEEK、陶瓷及关节假体相关材料具有较高技术和认证要求，部分高端材料供应商短期内难以替代。</w:t>
      </w:r>
    </w:p>
    <w:p>
      <w:pPr>
        <w:pStyle w:val="ListParagraph"/>
        <w:numPr>
          <w:ilvl w:val="0"/>
          <w:numId w:val="2"/>
        </w:numPr>
        <w:spacing w:after="80" w:line="280"/>
      </w:pPr>
      <w:r>
        <w:rPr>
          <w:sz w:val="22"/>
          <w:szCs w:val="22"/>
        </w:rPr>
        <w:t xml:space="preserve">公司对普通机械加工和部分标准化材料的采购议价能力相对较强；对高端植入级材料、特殊陶瓷、高性能高分子材料和关节假体毛坯的议价能力相对有限，部分材料更接近技术型供应商主导。原材料涨价并非利润波动的唯一因素，集采降价和产品结构变化影响更大。</w:t>
      </w:r>
    </w:p>
    <w:p>
      <w:pPr>
        <w:pStyle w:val="ListParagraph"/>
        <w:numPr>
          <w:ilvl w:val="0"/>
          <w:numId w:val="2"/>
        </w:numPr>
        <w:spacing w:after="80" w:line="280"/>
      </w:pPr>
      <w:r>
        <w:rPr>
          <w:sz w:val="22"/>
          <w:szCs w:val="22"/>
        </w:rPr>
        <w:t xml:space="preserve">下游客户主要为医院、医疗机构、骨科耗材经销商及配送商。2025年经销收入13.90亿元、配送收入0.88亿元、直销收入0.43亿元，经销仍是核心销售渠道，经销收入占主营业务收入约91.3%。</w:t>
      </w:r>
    </w:p>
    <w:p>
      <w:pPr>
        <w:pStyle w:val="ListParagraph"/>
        <w:numPr>
          <w:ilvl w:val="0"/>
          <w:numId w:val="2"/>
        </w:numPr>
        <w:spacing w:after="80" w:line="280"/>
      </w:pPr>
      <w:r>
        <w:rPr>
          <w:sz w:val="22"/>
          <w:szCs w:val="22"/>
        </w:rPr>
        <w:t xml:space="preserve">2024年前五名客户销售额为2.55亿元，占年度销售总额17.55%，单一客户销售占比最高为4.76%，纪要据此判断不存在对单一客户的重大依赖。该销售集中度数据为2024年度，纪要未提供2025年前五大客户销售额占比，具体以最新年报为准。</w:t>
      </w:r>
    </w:p>
    <w:p>
      <w:pPr>
        <w:pStyle w:val="ListParagraph"/>
        <w:numPr>
          <w:ilvl w:val="0"/>
          <w:numId w:val="2"/>
        </w:numPr>
        <w:spacing w:after="80" w:line="280"/>
      </w:pPr>
      <w:r>
        <w:rPr>
          <w:sz w:val="22"/>
          <w:szCs w:val="22"/>
        </w:rPr>
        <w:t xml:space="preserve">2025年末前五大客户应收账款余额占应收账款余额29.41%，2024年为44.05%。该指标为应收账款集中度，不能与2024年前五大客户销售额占比17.55%直接混用。</w:t>
      </w:r>
    </w:p>
    <w:p>
      <w:pPr>
        <w:pStyle w:val="ListParagraph"/>
        <w:numPr>
          <w:ilvl w:val="0"/>
          <w:numId w:val="2"/>
        </w:numPr>
        <w:spacing w:after="80" w:line="280"/>
      </w:pPr>
      <w:r>
        <w:rPr>
          <w:sz w:val="22"/>
          <w:szCs w:val="22"/>
        </w:rPr>
        <w:t xml:space="preserve">行业核心下游为医院和医保支付体系，产品价格受到国家及省际联盟带量采购、医保支付标准、医院报量和配送体系影响。集采有助于扩大终端覆盖和采购量，但会压缩产品价格和渠道利润；经销模式还伴随账期、返利、专业服务及渠道价格管理压力。</w:t>
      </w:r>
    </w:p>
    <w:p>
      <w:pPr>
        <w:pStyle w:val="ListParagraph"/>
        <w:numPr>
          <w:ilvl w:val="0"/>
          <w:numId w:val="2"/>
        </w:numPr>
        <w:spacing w:after="80" w:line="280"/>
      </w:pPr>
      <w:r>
        <w:rPr>
          <w:sz w:val="22"/>
          <w:szCs w:val="22"/>
        </w:rPr>
        <w:t xml:space="preserve">公司通过较完整的产品线、供货能力、临床跟台服务和多产品协同提升医院覆盖和客户黏性，但产品价格议价权较集采前明显减弱。</w:t>
      </w:r>
    </w:p>
    <w:p>
      <w:pPr>
        <w:pStyle w:val="ListParagraph"/>
        <w:numPr>
          <w:ilvl w:val="0"/>
          <w:numId w:val="2"/>
        </w:numPr>
        <w:spacing w:after="80" w:line="280"/>
      </w:pPr>
      <w:r>
        <w:rPr>
          <w:sz w:val="22"/>
          <w:szCs w:val="22"/>
        </w:rPr>
        <w:t xml:space="preserve">2025年末前五大客户应收账款余额为9,620.96万元，占应收账款余额29.41%，低于2024年的44.05%；应收账款周转天数约65.3天，低于2024年的约72.1天，显示回款效率有所改善。医院及经销体系对账期和渠道服务的需求仍会占用营运资金；2025年销售费用下降、经营现金流改善，但不能据此完全排除集采及渠道调整阶段的账期波动风险。</w:t>
      </w:r>
    </w:p>
    <w:p>
      <w:pPr>
        <w:pStyle w:val="ListParagraph"/>
        <w:numPr>
          <w:ilvl w:val="0"/>
          <w:numId w:val="2"/>
        </w:numPr>
        <w:spacing w:after="80" w:line="280"/>
      </w:pPr>
      <w:r>
        <w:rPr>
          <w:sz w:val="22"/>
          <w:szCs w:val="22"/>
        </w:rPr>
        <w:t xml:space="preserve">供应商集中度方面，2025年前五名供应商采购额占比为40.54%，2024年为57.04%；客户销售集中度方面，仅披露2024年前五大客户销售额占比17.55%，2025年未提供该口径数据；客户应收账款集中度方面，2025年末前五大客户占比为29.41%，2024年为44.05%。上述数据来自纪要所列年报及相关披露，销售额集中度与应收账款集中度口径不同，且2025年客户销售集中度数据缺失，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医疗器械制造毛利率约81.2%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约32.0%</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高值耗材价格体系尚未受到全面集采冲击，传统植入物占比较高，产品价格和渠道利润相对较高。</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医疗器械制造毛利率约74.8%</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约29.4%</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脊柱、创伤和关节耗材集采影响开始显现，产品价格下降，收入和利润回落。</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医疗器械制造毛利率约66.5%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约8.8%</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集采落地、渠道库存补差及脊柱、创伤、关节产品价格调整，对传统植入物业务和利润率造成较大冲击。</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医疗器械制造毛利率65.75%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约15.4%</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关节、创伤、运动医学和组织修复业务销量提升，经营业绩修复；但脊柱产品仍受到集采价格影响，整体毛利率未明显回升。</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医疗器械制造毛利率64.85%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约17.6%</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传统植入物销量增长但收入下降，呈现“以量补价”；智能设备、功能修复与组织再生业务增长，高毛利业务占比提升，叠加销售费用和供应链效率改善，推动净利润增速高于收入增速。</w:t>
            </w:r>
          </w:p>
        </w:tc>
      </w:tr>
    </w:tbl>
    <w:p>
      <w:pPr>
        <w:spacing w:before="200"/>
      </w:pPr>
    </w:p>
    <w:p>
      <w:pPr>
        <w:spacing w:after="160" w:line="300"/>
      </w:pPr>
      <w:r>
        <w:rPr>
          <w:sz w:val="22"/>
          <w:szCs w:val="22"/>
        </w:rPr>
        <w:t xml:space="preserve">威高骨科不是单一高毛利上游材料企业，而是以规模化骨科植入物制造为基础、向智能设备和组织再生延伸的综合型骨科平台公司，处于产业链中游制造环节。其盈利改善主要取决于高毛利组织修复及生物材料业务扩张、脊柱微创和智能设备放量、产品结构升级、原材料国产替代、制造效率提升，以及集采后产品价格与销量之间能否实现更好的平衡。</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7.0442亿元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同比下降4.93%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归属于上市公司股东的净利润1.3223亿元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同比下降6.85%</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2026年第二季度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约4.08亿元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同比下降9.46%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归母净利润约8800.19万元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同比下降2.40%</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15.2279亿元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同比增长4.82%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归母净利润2.6864亿元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同比增长20.06%</w:t>
            </w:r>
          </w:p>
        </w:tc>
      </w:tr>
    </w:tbl>
    <w:p>
      <w:pPr>
        <w:spacing w:after="200"/>
      </w:pPr>
      <w:r>
        <w:rPr>
          <w:i/>
          <w:iCs/>
          <w:color w:val="595959"/>
          <w:sz w:val="18"/>
          <w:szCs w:val="18"/>
        </w:rPr>
        <w:t xml:space="preserve">2026年上半年数据来自2026年半年度报告，报告未经审计；2025年全年数据来自已审计年报。2026年上半年扣非归母净利润为1.2592亿元，同比下降7.28%，经营活动产生的现金流量净额为1.4042亿元，同比下降24.59%；2025年全年扣非归母净利润为2.5467亿元，同比增长20.77%，经营活动现金流量净额为4.1542亿元，同比增长51.51%。2026年上半年基本每股收益为0.33元，2025年全年基本每股收益为0.68元。</w:t>
      </w:r>
    </w:p>
    <w:p>
      <w:pPr>
        <w:spacing w:after="160" w:line="300"/>
      </w:pPr>
      <w:r>
        <w:rPr>
          <w:sz w:val="22"/>
          <w:szCs w:val="22"/>
        </w:rPr>
        <w:t xml:space="preserve">公司2025年实现收入温和增长、利润较快增长，盈利质量和经营现金流有所改善；但2026年上半年收入、归母净利润、扣非归母净利润及经营活动现金流均同比下降，主要受国内终端临床手术量阶段性波动、市场竞争加剧、骨科耗材带量采购及产品结构变化影响。2026年第二季度收入降幅较一季度加大，但利润降幅相对收窄。2026年上半年营业成本同比增长3.38%，综合盈利能力承压。</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截至2026年9月3日，同花顺盈利预测页面显示近六个月共有6家机构进行预测，但公开展开的具体机构明细主要显示4家，汇总值可能包含其他未完整展示的机构。公开可核实的主要预测报告日期集中在2026年4月5日至4月30日，早于2026年8月26日中报披露，存在预测滞后风险。已公开列示的机构预测包括东北证券、国信证券、天风证券和东吴证券。</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平均预测约17.25亿元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平均预测约3.22亿元，区间为3.08亿至3.36亿元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未明确披露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平均预测0.81元，区间为0.77元至0.84元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平均预测约19.69亿元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平均预测约3.86亿元，区间为3.72亿至4.14亿元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未明确披露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平均预测0.97元，区间为0.93元至1.03元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平均预测约22.34亿元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平均预测约4.53亿元，区间为4.29亿至5.01亿元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未明确披露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平均预测1.13元，区间为1.07元至1.25元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2026年4月5日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预测2026—2028年归母净利润分别为3.36亿元、4.14亿元和5.01亿元，对应市盈率约36倍、29倍和24倍；未明确披露目标价。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天风证券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2026年4月21日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预测2026—2028年营业收入分别为17.47亿元、19.90亿元和22.48亿元，归母净利润分别为3.33亿元、3.99亿元和4.60亿元；未明确披露目标价。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东方证券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2026年4月9日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预测2026—2028年EPS分别为0.77元、0.93元和1.10元，按照2026年47倍市盈率估值，给予目标价36.19元。</w:t>
            </w:r>
          </w:p>
        </w:tc>
      </w:tr>
    </w:tbl>
    <w:p>
      <w:pPr>
        <w:spacing w:before="200"/>
      </w:pPr>
    </w:p>
    <w:p>
      <w:pPr>
        <w:spacing w:after="160" w:line="300"/>
      </w:pPr>
      <w:r>
        <w:rPr>
          <w:sz w:val="22"/>
          <w:szCs w:val="22"/>
        </w:rPr>
        <w:t xml:space="preserve">截至2026年9月11日，公司收盘价约21.50元；按4亿股总股本计算，总市值约86亿元。按2026年半年度报告期末归属于上市公司股东的净资产41.9527亿元计算，每股净资产约10.49元，对应市净率约2.05倍。按2025年全年基本每股收益0.68元计算，静态市盈率约31.6倍；部分行情终端在相近日期显示静态市盈率约32.2倍、动态市盈率约32.7倍，差异可能与价格时点、回购股份处理方式和利润口径有关。基于2026年上半年归母净利润1.3223亿元、2025年上半年归母净利润1.4196亿元及2025年全年归母净利润2.6864亿元，估算最近12个月归母净利润约2.5892亿元，TTM每股收益约0.647元，对应TTM市盈率约33.2倍，不同终端可能显示约33—35倍。按机构一致预测EPS计算，当前股价对应2026年、2027年和2028年预测市盈率分别约26.5倍、22.2倍和19.0倍。若2026年归母净利润达到机构平均预测的约3.22亿元，当前估值相较实际利润口径有所下降；但2026年上半年净利润同比下降6.85%，全年能否实现机构预测的约19.9%增长，仍取决于下半年手术量恢复、集采影响减弱、运动医学和骨科微创业务放量及并购整合效果。机构观点整体偏正面，但评级主要分布在“买入”和“增持”之间；目前可明确核实的目标价为东方证券36.19元，其他报告未公开或未能核实目标价，不宜推算机构目标价均值。主要风险包括骨科集采续约及价格变化、国内临床手术量恢复速度、产品结构变化、海外业务放量、并购资产整合，以及应收账款和经营现金流变化。</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威高骨科将参加科创板医疗器械行业集体业绩说明会</w:t>
      </w:r>
    </w:p>
    <w:p>
      <w:pPr>
        <w:spacing w:after="160" w:line="300"/>
      </w:pPr>
      <w:r>
        <w:rPr>
          <w:sz w:val="22"/>
          <w:szCs w:val="22"/>
        </w:rPr>
        <w:t xml:space="preserve">公司于2026年9月9日披露公告，计划于2026年9月17日15:00—17:00参加上海证券交易所主办的“科创板2026年半年度医疗器械及医疗设备行业集体业绩说明会”，围绕2026年半年度经营成果、财务状况及投资者关心的问题进行交流。截至2026年9月12日，会议尚未召开，尚未形成新的经营数据或正式资本运作公告。</w:t>
      </w:r>
    </w:p>
    <w:p>
      <w:pPr>
        <w:pStyle w:val="Heading2"/>
        <w:spacing w:after="120" w:before="240"/>
      </w:pPr>
      <w:r>
        <w:rPr>
          <w:b/>
          <w:bCs/>
          <w:color w:val="2E74B5"/>
          <w:sz w:val="24"/>
          <w:szCs w:val="24"/>
        </w:rPr>
        <w:t xml:space="preserve">4.2 2026年9月暂未发现新的回购、业绩预告、减持及并购公告</w:t>
      </w:r>
    </w:p>
    <w:p>
      <w:pPr>
        <w:spacing w:after="160" w:line="300"/>
      </w:pPr>
      <w:r>
        <w:rPr>
          <w:sz w:val="22"/>
          <w:szCs w:val="22"/>
        </w:rPr>
        <w:t xml:space="preserve">截至2026年9月12日，公开检索到的2026年9月主要公告为9月9日业绩说明会公告，暂未发现公司新披露2026年前三季度业绩预告、新的股份回购方案或进展、控股股东及实际控制人增减持、新的重大资产收购或出售、以及行政监管措施或纪律处分公告。上述结果基于截至2026年9月12日的公开检索，不代表公司未来不会披露相关事项。</w:t>
      </w:r>
    </w:p>
    <w:p>
      <w:pPr>
        <w:pStyle w:val="Heading2"/>
        <w:spacing w:after="120" w:before="240"/>
      </w:pPr>
      <w:r>
        <w:rPr>
          <w:b/>
          <w:bCs/>
          <w:color w:val="2E74B5"/>
          <w:sz w:val="24"/>
          <w:szCs w:val="24"/>
        </w:rPr>
        <w:t xml:space="preserve">4.3 2026年上半年收入和净利润同比下降</w:t>
      </w:r>
    </w:p>
    <w:p>
      <w:pPr>
        <w:spacing w:after="160" w:line="300"/>
      </w:pPr>
      <w:r>
        <w:rPr>
          <w:sz w:val="22"/>
          <w:szCs w:val="22"/>
        </w:rPr>
        <w:t xml:space="preserve">公司于2026年8月26日披露2026年半年度报告。2026年上半年实现营业收入70,442.43万元，同比下降4.93%；实现归属于上市公司股东的净利润13,223.15万元，同比下降6.85%；扣除股份支付费用影响后，归母净利润为14,564.57万元，同比下降4.64%。数据截至2026年6月30日，未经审计，并非截至2026年9月12日的最新经营数据。传统骨科植入物业务仍面临集采、行业竞争及产品价格压力，公司正布局运动医学、脊柱微创、智能设备及有源能量设备等业务。</w:t>
      </w:r>
    </w:p>
    <w:p>
      <w:pPr>
        <w:pStyle w:val="Heading2"/>
        <w:spacing w:after="120" w:before="240"/>
      </w:pPr>
      <w:r>
        <w:rPr>
          <w:b/>
          <w:bCs/>
          <w:color w:val="2E74B5"/>
          <w:sz w:val="24"/>
          <w:szCs w:val="24"/>
        </w:rPr>
        <w:t xml:space="preserve">4.4 公司拟实施2026年度中期分红</w:t>
      </w:r>
    </w:p>
    <w:p>
      <w:pPr>
        <w:spacing w:after="160" w:line="300"/>
      </w:pPr>
      <w:r>
        <w:rPr>
          <w:sz w:val="22"/>
          <w:szCs w:val="22"/>
        </w:rPr>
        <w:t xml:space="preserve">公司拟以总股本扣除回购专用证券账户股份后的股本为基数，向全体股东每10股派发现金红利0.90元，预计派发现金红利总额35,755,751.16元，约占2026年上半年归属于上市公司股东净利润的27.04%。截至2026年6月30日，回购专用证券账户持有2,713,876股，占总股本约0.68%，该部分股份不参与本次利润分配。分红方案仍需按照公告安排实施，具体权益分派实施情况及股权登记日尚待后续公告。</w:t>
      </w:r>
    </w:p>
    <w:p>
      <w:pPr>
        <w:pStyle w:val="Heading2"/>
        <w:spacing w:after="120" w:before="240"/>
      </w:pPr>
      <w:r>
        <w:rPr>
          <w:b/>
          <w:bCs/>
          <w:color w:val="2E74B5"/>
          <w:sz w:val="24"/>
          <w:szCs w:val="24"/>
        </w:rPr>
        <w:t xml:space="preserve">4.5 截至2026年6月30日公司回购股份约271万股</w:t>
      </w:r>
    </w:p>
    <w:p>
      <w:pPr>
        <w:spacing w:after="160" w:line="300"/>
      </w:pPr>
      <w:r>
        <w:rPr>
          <w:sz w:val="22"/>
          <w:szCs w:val="22"/>
        </w:rPr>
        <w:t xml:space="preserve">截至2026年6月30日，公司通过上海证券交易所系统以集中竞价方式回购股份2,713,876股，占公司总股本的0.68%。相关股份存放于回购专用证券账户，不享有股东大会表决权及利润分配权。截至2026年9月12日，公开检索资料未显示公司进一步披露新的回购数量或变更回购用途公告。</w:t>
      </w:r>
    </w:p>
    <w:p>
      <w:pPr>
        <w:pStyle w:val="Heading2"/>
        <w:spacing w:after="120" w:before="240"/>
      </w:pPr>
      <w:r>
        <w:rPr>
          <w:b/>
          <w:bCs/>
          <w:color w:val="2E74B5"/>
          <w:sz w:val="24"/>
          <w:szCs w:val="24"/>
        </w:rPr>
        <w:t xml:space="preserve">4.6 2025年限制性股票激励计划进入首次归属期</w:t>
      </w:r>
    </w:p>
    <w:p>
      <w:pPr>
        <w:spacing w:after="160" w:line="300"/>
      </w:pPr>
      <w:r>
        <w:rPr>
          <w:sz w:val="22"/>
          <w:szCs w:val="22"/>
        </w:rPr>
        <w:t xml:space="preserve">公司于2026年8月26日披露2025年限制性股票激励计划首次授予部分第一个归属期归属条件成就、调整授予价格以及作废部分已授予尚未归属限制性股票等公告，正在推进股权激励计划首期归属及存量激励股份清理。具体归属数量、授予价格调整幅度及作废股份数量，以公司相关专项公告为准。</w:t>
      </w:r>
    </w:p>
    <w:p>
      <w:pPr>
        <w:pStyle w:val="Heading2"/>
        <w:spacing w:after="120" w:before="240"/>
      </w:pPr>
      <w:r>
        <w:rPr>
          <w:b/>
          <w:bCs/>
          <w:color w:val="2E74B5"/>
          <w:sz w:val="24"/>
          <w:szCs w:val="24"/>
        </w:rPr>
        <w:t xml:space="preserve">4.7 公司拟使用不超过30亿元闲置自有资金进行现金管理</w:t>
      </w:r>
    </w:p>
    <w:p>
      <w:pPr>
        <w:spacing w:after="160" w:line="300"/>
      </w:pPr>
      <w:r>
        <w:rPr>
          <w:sz w:val="22"/>
          <w:szCs w:val="22"/>
        </w:rPr>
        <w:t xml:space="preserve">公司于2026年8月26日披露，拟使用不超过人民币30亿元的部分闲置自有资金进行现金管理，前提是不影响日常经营、资金安全及主营业务发展。该事项属于资金运用安排，不代表新增对外投资或产业并购；公告未表明30亿元将全部实际使用，实际投资规模、产品期限及收益率取决于后续具体操作。</w:t>
      </w:r>
    </w:p>
    <w:p>
      <w:pPr>
        <w:pStyle w:val="Heading2"/>
        <w:spacing w:after="120" w:before="240"/>
      </w:pPr>
      <w:r>
        <w:rPr>
          <w:b/>
          <w:bCs/>
          <w:color w:val="2E74B5"/>
          <w:sz w:val="24"/>
          <w:szCs w:val="24"/>
        </w:rPr>
        <w:t xml:space="preserve">4.8 部分募投项目延期并重新论证</w:t>
      </w:r>
    </w:p>
    <w:p>
      <w:pPr>
        <w:spacing w:after="160" w:line="300"/>
      </w:pPr>
      <w:r>
        <w:rPr>
          <w:sz w:val="22"/>
          <w:szCs w:val="22"/>
        </w:rPr>
        <w:t xml:space="preserve">公司于2026年8月26日披露部分募集资金投资项目延期、重新论证及相关核查意见。此前研发中心建设等募投项目已发生调整，部分募集资金被用于收购苏州杰思拜尔医疗科技有限公司股权并增资。后续需关注延期项目对新产品注册、研发转化及产能布局的影响，以及并购形成的商誉和标的持续亏损情况。</w:t>
      </w:r>
    </w:p>
    <w:p>
      <w:pPr>
        <w:pStyle w:val="Heading2"/>
        <w:spacing w:after="120" w:before="240"/>
      </w:pPr>
      <w:r>
        <w:rPr>
          <w:b/>
          <w:bCs/>
          <w:color w:val="2E74B5"/>
          <w:sz w:val="24"/>
          <w:szCs w:val="24"/>
        </w:rPr>
        <w:t xml:space="preserve">4.9 2026年上半年部分股东持股减少，控股权未见变化</w:t>
      </w:r>
    </w:p>
    <w:p>
      <w:pPr>
        <w:spacing w:after="160" w:line="300"/>
      </w:pPr>
      <w:r>
        <w:rPr>
          <w:sz w:val="22"/>
          <w:szCs w:val="22"/>
        </w:rPr>
        <w:t xml:space="preserve">截至2026年6月30日，山东省财金投资集团有限公司持股7,274,617股，较前期减少4,232,154股；威海永耀贸易中心（有限合伙）持股3,450,750股，较前期减少2,179,250股。公开资料未显示上述股东属于公司控股股东或实际控制人体系。威高集团医用高分子制品股份有限公司、威高国际医疗有限公司、威高集团有限公司及威海弘阳瑞信息技术中心仍为实际控制人陈学利控制的主体，报告期内未见控股权发生变化的披露。上述数据无法单独确定具体减持日期、价格及交易方式。</w:t>
      </w:r>
    </w:p>
    <w:p>
      <w:pPr>
        <w:pStyle w:val="Heading2"/>
        <w:spacing w:after="120" w:before="240"/>
      </w:pPr>
      <w:r>
        <w:rPr>
          <w:b/>
          <w:bCs/>
          <w:color w:val="2E74B5"/>
          <w:sz w:val="24"/>
          <w:szCs w:val="24"/>
        </w:rPr>
        <w:t xml:space="preserve">4.10 截至2026年6月30日公司股东户数增加</w:t>
      </w:r>
    </w:p>
    <w:p>
      <w:pPr>
        <w:spacing w:after="160" w:line="300"/>
      </w:pPr>
      <w:r>
        <w:rPr>
          <w:sz w:val="22"/>
          <w:szCs w:val="22"/>
        </w:rPr>
        <w:t xml:space="preserve">公开行情公告信息显示，截至2026年6月30日，公司A股股东户数为10,119户，较2026年3月31日增加516户，增幅约5.37%。该数据仅反映股东户数变化，不能直接推导资金流向、机构投资者增持或股东结构改善。</w:t>
      </w:r>
    </w:p>
    <w:p>
      <w:pPr>
        <w:pStyle w:val="Heading2"/>
        <w:spacing w:after="120" w:before="240"/>
      </w:pPr>
      <w:r>
        <w:rPr>
          <w:b/>
          <w:bCs/>
          <w:color w:val="2E74B5"/>
          <w:sz w:val="24"/>
          <w:szCs w:val="24"/>
        </w:rPr>
        <w:t xml:space="preserve">4.11 公司回复上海证券交易所2025年年报问询函</w:t>
      </w:r>
    </w:p>
    <w:p>
      <w:pPr>
        <w:spacing w:after="160" w:line="300"/>
      </w:pPr>
      <w:r>
        <w:rPr>
          <w:sz w:val="22"/>
          <w:szCs w:val="22"/>
        </w:rPr>
        <w:t xml:space="preserve">公司于2026年7月11日披露2025年年报问询函回复，涉及杰思拜尔并购、山东威高新生医疗器械有限公司业绩承诺、浙江量子医疗器械有限公司少数股权回购义务及商誉减值测试等事项。公司回复称，杰思拜尔于2026年2月1日达到交割条件并取得控制权、纳入合并报表；其2025年前三季度亏损434.66万元，截至2026年上半年对公司净利润影响为-345.41万元。该问询及回复不代表公司受到行政处罚，但反映出交易所对并购标的经营质量、商誉减值风险及业绩承诺兑现等事项的关注。</w:t>
      </w:r>
    </w:p>
    <w:p>
      <w:pPr>
        <w:pStyle w:val="Heading2"/>
        <w:spacing w:after="120" w:before="240"/>
      </w:pPr>
      <w:r>
        <w:rPr>
          <w:b/>
          <w:bCs/>
          <w:color w:val="2E74B5"/>
          <w:sz w:val="24"/>
          <w:szCs w:val="24"/>
        </w:rPr>
        <w:t xml:space="preserve">4.12 收购苏州杰思拜尔55%股权并增资已完成并表</w:t>
      </w:r>
    </w:p>
    <w:p>
      <w:pPr>
        <w:spacing w:after="160" w:line="300"/>
      </w:pPr>
      <w:r>
        <w:rPr>
          <w:sz w:val="22"/>
          <w:szCs w:val="22"/>
        </w:rPr>
        <w:t xml:space="preserve">公司于2025年12月披露变更部分募投项目、收购苏州杰思拜尔医疗科技有限公司股权并对其增资的方案，拟以6,646万元购买原股东部分股权，并以2,000万元认购新增注册资本，合计投入8,646万元，交易完成后持有杰思拜尔55%股权。杰思拜尔主要涉及骨科微创、有源能量设备等产品和技术；2026年2月1日达到交割条件并纳入合并范围。2026年上半年该标的对公司净利润影响为-345.41万元，战略布局已落地但盈利贡献尚未显现。</w:t>
      </w:r>
    </w:p>
    <w:p>
      <w:pPr>
        <w:pStyle w:val="Heading2"/>
        <w:spacing w:after="120" w:before="240"/>
      </w:pPr>
      <w:r>
        <w:rPr>
          <w:b/>
          <w:bCs/>
          <w:color w:val="2E74B5"/>
          <w:sz w:val="24"/>
          <w:szCs w:val="24"/>
        </w:rPr>
        <w:t xml:space="preserve">4.13 截至2026年9月12日暂未发现新增重大并购</w:t>
      </w:r>
    </w:p>
    <w:p>
      <w:pPr>
        <w:spacing w:after="160" w:line="300"/>
      </w:pPr>
      <w:r>
        <w:rPr>
          <w:sz w:val="22"/>
          <w:szCs w:val="22"/>
        </w:rPr>
        <w:t xml:space="preserve">截至2026年9月12日，公开检索未发现威高骨科在2026年9月新披露重大股权收购、资产出售、发行股份购买资产或新的产业基金投资项目。此前收购杰思拜尔仍是近期主要并购事项，其后续亏损收窄、业务协同、商誉减值及盈利改善情况仍需持续跟踪。</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股票代码及简称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688161，威高骨科；上海证券交易所科创板</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最新收盘价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21.65元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涨跌额及涨跌幅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-1.01元，-4.46%</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当日开盘价/最高价/最低价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22.51元/22.60元/21.35元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成交量及成交额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约2.12万手，约212.01万股；成交额约4610.84万元，约0.46亿元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0.53%</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总市值及流通市值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均约86.60亿元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总股本及流通股本</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均约4.00亿股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估值指标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市净率约2.06倍；动态市盈率约32倍，不同平台显示约31.84倍至32.746倍</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前复权口径：19.83元至36.76元；52周高点发生于2025年9月17日，低点发生于2026年6月29日</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当前历史位置</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收盘价较52周高点下跌约41.1%，较52周低点上涨约9.2%；2026年以来前复权累计跌幅约21.57%</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22.33元/22.13元/22.13元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收盘价21.65元低于三条短期均线，分别低于约3.05%、2.16%和2.19%；MA10与MA20黏合，短期价格结构偏弱但中期趋势尚未形成明确方向。22.13元附近由原有支撑转为第一压力区域。</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DIF约0.06，DEA约0.06，MACD柱-0.01</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DIF处于DEA下方，MACD柱位于零轴下方，短线动能偏弱；但DIF与DEA数值接近，后续一至数个交易日可能快速反复，不能据此确认趋势已经形成。</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RSI6为36.6，RSI12为44.0，RSI24为46.1</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短中期动能偏弱，RSI6接近偏弱区域，但尚未进入传统意义上的严重超卖区间。</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上轨22.81元，中轨22.13元，下轨21.46元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股价位于下轨与中轨之间，距离下轨约0.19元、距离中轨约0.48元；21.46元附近若失守，可能进一步测试21.35元及19.83元附近区域。</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近期波动与量比</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当日量比约1.61，振幅约5.52%；近期20日平均振幅约2.93%</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当日振幅明显高于近期20日平均水平，成交额较近期常态放大，呈现放量下跌特征，但单日数据尚不足以确认持续性卖压。</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近期成交额</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近20个交易日约0.18亿元至0.59亿元；常态约0.25亿元至0.35亿元，放量水平约0.46亿元至0.59亿元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9月10日成交额约0.59亿元，为近期最高值；9月11日成交额约0.46亿元，处于放量水平。</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主力资金流向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最近10个交易日合计净流入约1568万元，其中8个交易日净流入、2个交易日净流出；9月11日净流出约249万元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近10日累计资金仍为净流入，但9月11日主力净流出并伴随股价明显下跌，短线资金面边际转弱。该指标按大单、超大单成交划分，不等同于真实机构身份或持仓变化。</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前十大流通股东集中度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截至2026年3月31日，前十大流通股东合计持有约86.20%；前四大合计约80.83%</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名义股权集中度较高，实际可自由交易筹码相对有限；该数据存在报告期滞后，截至2026年9月11日实际持仓结构可能已经变化。</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机构持仓结构</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截至2026年3月31日，鹏华医药科技股票型证券投资基金持股约0.34%，中国人寿保险产品持股约0.33%，两者合计约0.67%；机构类股东合计约1.35%</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前十大流通股东主要由控股股东、关联企业及产业投资主体构成，公募基金和保险资金在其中的可见持仓比例相对有限；不代表全部机构实际持仓。</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股东户数</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截至2026年6月30日约1.01万户，较2026年3月31日增加516户，增幅约5.37%</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静态口径下筹码较2026年一季度末有所分散，但数据存在报告期滞后，不能单独用于判断涨跌。</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筹码成本估算</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平均持仓成本26.82元，中位成本27.00元，70%筹码区间22.00元至31.00元，获利盘比例约14.5%</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收盘价低于筹码中位成本，模型估算约85.5%的筹码处于浮亏状态；22.00元至22.80元附近可能面临套牢盘及短线解套盘压力。该数据为模型估算，并非公司披露的实际股东成本。</w:t>
            </w:r>
          </w:p>
        </w:tc>
      </w:tr>
    </w:tbl>
    <w:p>
      <w:pPr>
        <w:spacing w:before="200"/>
      </w:pPr>
    </w:p>
    <w:p>
      <w:pPr>
        <w:spacing w:after="160" w:line="300"/>
      </w:pPr>
      <w:r>
        <w:rPr>
          <w:sz w:val="22"/>
          <w:szCs w:val="22"/>
        </w:rPr>
        <w:t xml:space="preserve">截至2026年9月11日，威高骨科收于21.65元，当日下跌4.46%，收盘价跌破MA5、MA10和MA20，短线价格结构转弱。股价接近布林带下轨21.46元，但RSI尚未进入极端超卖区，MACD仅显示轻微负柱，当前更接近短线偏弱与支撑观察阶段，而非已经形成明确的中期趋势。21.35元至21.50元为第一支撑观察区，22.10元至22.80元为主要压力区；若支撑失守，需关注19.80元至20.20元区域。成交额约0.46亿元、换手率0.53%，近10个交易日主力资金累计仍为净流入，但9月11日出现净流出并伴随放量下跌，资金面边际转弱。前十大流通股东集中度较高，且截至2026年3月31日的前十大股东中公募基金和保险资金可见持仓比例较低，实际活跃筹码相对有限，低换手环境下价格可能对少量成交较为敏感。</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风险提示：以下内容仅为基于截至2026年9月11日收盘数据、历史价格和技术指标的主观情景推演，不构成投资建议，也不构成对未来实际走势的确定性预测。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22.10元至22.80元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MA10、MA20及布林带中轨集中于22.13元附近，布林带上轨约22.81元。重新站上22.13元可能修复短线弱势结构；进一步突破22.80元至23.25元，才显示反弹力度增强。</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21.35元至21.50元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对应布林带下轨约21.46元及9月11日盘中低点21.35元。若该区间失守，短线支撑结构将转弱，并可能向更低支撑区域移动。</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19.80元至20.20元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对应近52周低点19.83元及20元整数关口。若21.35元附近有效跌破，价格可能进一步测试该区域。</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启发式权重相对较高，约五成至六成；不是统计概率）：价格区间关注21.35元至22.30元。触发条件为股价在21.35元至21.50元附近获得支撑，成交额维持约0.25亿元至0.60亿元的近期区间，且没有新的明显利空或板块大幅走弱。若支撑有效，股价可能围绕22元一线反复震荡。</w:t>
      </w:r>
    </w:p>
    <w:p>
      <w:pPr>
        <w:pStyle w:val="ListParagraph"/>
        <w:numPr>
          <w:ilvl w:val="0"/>
          <w:numId w:val="2"/>
        </w:numPr>
        <w:spacing w:after="80" w:line="280"/>
      </w:pPr>
      <w:r>
        <w:rPr>
          <w:sz w:val="22"/>
          <w:szCs w:val="22"/>
        </w:rPr>
        <w:t xml:space="preserve">偏弱下行（主观启发式权重中等，约三成左右；不是统计概率）：价格区间关注19.80元至21.35元。触发条件为收盘有效跌破21.35元，且成交额连续放大至0.60亿元以上，主力资金连续净流出，或医疗器械、医药板块同步走弱。若21.35元及21.46元附近支撑被放量击穿，价格可能向20元整数位及19.83元前期低点靠拢。</w:t>
      </w:r>
    </w:p>
    <w:p>
      <w:pPr>
        <w:pStyle w:val="ListParagraph"/>
        <w:numPr>
          <w:ilvl w:val="0"/>
          <w:numId w:val="2"/>
        </w:numPr>
        <w:spacing w:after="80" w:line="280"/>
      </w:pPr>
      <w:r>
        <w:rPr>
          <w:sz w:val="22"/>
          <w:szCs w:val="22"/>
        </w:rPr>
        <w:t xml:space="preserve">反弹走强（主观启发式权重偏低，约一成至两成；不是统计概率）：价格区间关注22.30元至23.25元。触发条件为股价重新站上22.13元的MA10、MA20及布林带中轨，且单日成交额达到0.70亿元以上，随后维持在22.30元上方；若进一步突破22.80元，反弹确认度增强。上方22.80元至23.25元为布林带上轨及近期高点形成的压力区。</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换手率为0.53%，成交额约0.46亿元；近20个交易日成交额大致为0.18亿元至0.59亿元，常态水平约0.25亿元至0.35亿元，放量水平约0.46亿元至0.59亿元。前十大流通股东集中度数据截至2026年3月31日，合计持有约86.20%，主要由控股股东、关联企业及产业投资主体构成；同期公募基金和保险资金合计可见持仓约0.67%，机构类股东合计约1.35%。上述股东结构存在报告期滞后，截至2026年9月11日实际持仓可能已经变化。名义集中度较高而实际活跃交易筹码相对有限，结合较低换手率，短线可能出现成交不连续或买卖价差扩大的情况。股东户数截至2026年6月30日约1.01万户，较2026年3月31日增加516户，亦提示静态筹码较一季度末有所分散，但不能视为实时结构。</w:t>
      </w:r>
    </w:p>
    <w:p>
      <w:pPr>
        <w:spacing w:after="160" w:line="300"/>
      </w:pPr>
      <w:r>
        <w:rPr>
          <w:sz w:val="22"/>
          <w:szCs w:val="22"/>
        </w:rPr>
        <w:t xml:space="preserve">可检查的量能信号是：若后续单日成交额达到0.70亿元以上，并连续两个交易日维持在约0.60亿元以上，同时股价收复22.13元，可视为短线资金参与度明显增强的观察信号；若放量但股价继续跌破21.35元，则更接近放量派发或风险释放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观察思路，非操作指令：关注21.35元至21.50元支撑区是否有效，若跌破则观察19.80元至20.20元强支撑区。</w:t>
      </w:r>
    </w:p>
    <w:p>
      <w:pPr>
        <w:pStyle w:val="ListParagraph"/>
        <w:numPr>
          <w:ilvl w:val="0"/>
          <w:numId w:val="2"/>
        </w:numPr>
        <w:spacing w:after="80" w:line="280"/>
      </w:pPr>
      <w:r>
        <w:rPr>
          <w:sz w:val="22"/>
          <w:szCs w:val="22"/>
        </w:rPr>
        <w:t xml:space="preserve">观察思路，非操作指令：关注22.13元附近的MA10、MA20及布林带中轨能否重新收复。</w:t>
      </w:r>
    </w:p>
    <w:p>
      <w:pPr>
        <w:pStyle w:val="ListParagraph"/>
        <w:numPr>
          <w:ilvl w:val="0"/>
          <w:numId w:val="2"/>
        </w:numPr>
        <w:spacing w:after="80" w:line="280"/>
      </w:pPr>
      <w:r>
        <w:rPr>
          <w:sz w:val="22"/>
          <w:szCs w:val="22"/>
        </w:rPr>
        <w:t xml:space="preserve">观察思路，非操作指令：关注22.80元至23.25元压力区，突破该区域是否伴随成交额同步放大。</w:t>
      </w:r>
    </w:p>
    <w:p>
      <w:pPr>
        <w:pStyle w:val="ListParagraph"/>
        <w:numPr>
          <w:ilvl w:val="0"/>
          <w:numId w:val="2"/>
        </w:numPr>
        <w:spacing w:after="80" w:line="280"/>
      </w:pPr>
      <w:r>
        <w:rPr>
          <w:sz w:val="22"/>
          <w:szCs w:val="22"/>
        </w:rPr>
        <w:t xml:space="preserve">观察思路，非操作指令：关注成交额能否由近期约0.20亿元至0.60亿元的常态区间提升至0.70亿元以上，并持续至少两个交易日。</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中国骨科医疗器械行业需求具有一定刚性，主要受人口老龄化、骨关节退行性疾病、骨质疏松和运动损伤需求驱动。行业涉及材料学、生物力学、机械加工、医学和临床应用等多学科，产品研发、注册、临床验证和生产质量体系门槛较高。带量采购正在重塑行业竞争逻辑，企业竞争重点由产品价格和渠道覆盖，转向成本控制、供货能力、注册证数量、临床服务和产品组合。</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国际厂商包括强生、史赛克、美敦力、捷迈邦美、施乐辉等，优势在于长期研发积累、全球品牌、复杂术式产品和高端医院覆盖。</w:t>
      </w:r>
    </w:p>
    <w:p>
      <w:pPr>
        <w:pStyle w:val="ListParagraph"/>
        <w:numPr>
          <w:ilvl w:val="0"/>
          <w:numId w:val="2"/>
        </w:numPr>
        <w:spacing w:after="80" w:line="280"/>
      </w:pPr>
      <w:r>
        <w:rPr>
          <w:sz w:val="22"/>
          <w:szCs w:val="22"/>
        </w:rPr>
        <w:t xml:space="preserve">国产综合型企业包括威高骨科、大博医疗、春立医疗、爱康医疗等，通常具备较完整产品线、本土渠道和集采响应能力。</w:t>
      </w:r>
    </w:p>
    <w:p>
      <w:pPr>
        <w:pStyle w:val="ListParagraph"/>
        <w:numPr>
          <w:ilvl w:val="0"/>
          <w:numId w:val="2"/>
        </w:numPr>
        <w:spacing w:after="80" w:line="280"/>
      </w:pPr>
      <w:r>
        <w:rPr>
          <w:sz w:val="22"/>
          <w:szCs w:val="22"/>
        </w:rPr>
        <w:t xml:space="preserve">细分领域企业包括凯利泰、三友医疗等，通常在脊柱微创、椎体成形、创伤或运动医学等细分赛道具备较强竞争力。</w:t>
      </w:r>
    </w:p>
    <w:p>
      <w:pPr>
        <w:pStyle w:val="ListParagraph"/>
        <w:numPr>
          <w:ilvl w:val="0"/>
          <w:numId w:val="2"/>
        </w:numPr>
        <w:spacing w:after="80" w:line="280"/>
      </w:pPr>
      <w:r>
        <w:rPr>
          <w:sz w:val="22"/>
          <w:szCs w:val="22"/>
        </w:rPr>
        <w:t xml:space="preserve">集采推动头部集中和国产替代，但行业出清和份额重构仍较缓慢，尚未形成完全稳定的行业格局。</w:t>
      </w:r>
    </w:p>
    <w:p>
      <w:pPr>
        <w:pStyle w:val="ListParagraph"/>
        <w:numPr>
          <w:ilvl w:val="0"/>
          <w:numId w:val="2"/>
        </w:numPr>
        <w:spacing w:after="80" w:line="280"/>
      </w:pPr>
      <w:r>
        <w:rPr>
          <w:sz w:val="22"/>
          <w:szCs w:val="22"/>
        </w:rPr>
        <w:t xml:space="preserve">行业竞争对手的产品布局存在交叉，各公司在脊柱、创伤、关节、运动医学和智能设备上的收入占比不同，因此可比公司属于业务可比或部分直接竞争者，不代表每个产品线均存在完全同质化竞争。</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大博医疗（002901.SZ）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国产综合型骨科医疗器械企业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与威高骨科均覆盖脊柱、创伤、关节、运动医学等领域；大博医疗在创伤和骨科植入产品规模化、产品线完整及成本控制方面具有优势。</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春立医疗（688236.SH）</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关节、脊柱和运动医学企业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关节假体是重要优势领域，并积极拓展海外市场；相较威高骨科，产品结构更偏关节和运动医学。</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爱康医疗（01789.HK）</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人工关节及骨科植入企业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主要聚焦人工关节、脊柱及相关骨科植入产品，在关节置换和国产替代领域具有较强竞争力；与威高骨科的直接竞争主要集中于髋、膝关节假体和高端关节植入物。</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凯利泰（300326.SZ）</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脊柱微创及运动医学细分企业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在脊柱微创、椎体成形、射频及运动医学等领域具有较强细分竞争力，与威高骨科的脊柱微创和智能设备业务存在重叠。</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三友医疗（688085.SH）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脊柱、创伤和运动医学企业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业务结构相对聚焦，具有较强的脊柱产品及临床推广能力；与威高骨科的竞争重点集中于脊柱内固定、融合器和微创脊柱产品。</w:t>
            </w:r>
          </w:p>
        </w:tc>
      </w:tr>
    </w:tbl>
    <w:p>
      <w:pPr>
        <w:spacing w:before="200"/>
      </w:pPr>
    </w:p>
    <w:p>
      <w:pPr>
        <w:spacing w:after="160" w:line="300"/>
      </w:pPr>
      <w:r>
        <w:rPr>
          <w:sz w:val="22"/>
          <w:szCs w:val="22"/>
        </w:rPr>
        <w:t xml:space="preserve">威高骨科相较细分型竞争对手，产品覆盖脊柱、创伤、关节、运动医学、组织修复和智能设备，综合平台属性更强；相较国际厂商，其优势主要在本土产品线、渠道资源、集采响应和供货能力。公司传统植入物业务仍受集采降价影响，未来竞争力和利润修复更多依赖高毛利组织修复与生物材料业务扩张、智能设备及脊柱微创放量、产品结构升级、成本控制和供应链国产替代。行业排名、市场份额及“平台化民族领军企业”等表述属于公司自我评价或需结合具体细分产品口径判断，不能据此推断公司在所有骨科细分市场均排名第一。</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骨科带量采购及续约政策可能继续压低脊柱、创伤、关节等传统植入物产品价格。2025年该业务收入同比下降3.76%，已出现销量增长而收入下降的“以量补价”特征，若价格压力持续，可能限制收入和毛利率修复。</w:t>
      </w:r>
    </w:p>
    <w:p>
      <w:pPr>
        <w:pStyle w:val="ListParagraph"/>
        <w:numPr>
          <w:ilvl w:val="0"/>
          <w:numId w:val="2"/>
        </w:numPr>
        <w:spacing w:after="80" w:line="280"/>
      </w:pPr>
      <w:r>
        <w:rPr>
          <w:sz w:val="22"/>
          <w:szCs w:val="22"/>
        </w:rPr>
        <w:t xml:space="preserve">2026年上半年国内终端临床手术量阶段性波动，导致公司收入同比下降4.93%、归母净利润同比下降6.85%；若手术量恢复不及预期，功能修复、运动医学、智能设备及传统植入物的放量节奏均可能受到影响。</w:t>
      </w:r>
    </w:p>
    <w:p>
      <w:pPr>
        <w:pStyle w:val="ListParagraph"/>
        <w:numPr>
          <w:ilvl w:val="0"/>
          <w:numId w:val="2"/>
        </w:numPr>
        <w:spacing w:after="80" w:line="280"/>
      </w:pPr>
      <w:r>
        <w:rPr>
          <w:sz w:val="22"/>
          <w:szCs w:val="22"/>
        </w:rPr>
        <w:t xml:space="preserve">公司销售高度依赖经销渠道，2025年经销收入占主营业务收入约91.3%。医院账期、配送体系、渠道返利及集采后的价格管理可能带来回款和渠道利润波动，且2026年上半年经营活动现金流同比下降24.59%。</w:t>
      </w:r>
    </w:p>
    <w:p>
      <w:pPr>
        <w:pStyle w:val="ListParagraph"/>
        <w:numPr>
          <w:ilvl w:val="0"/>
          <w:numId w:val="2"/>
        </w:numPr>
        <w:spacing w:after="80" w:line="280"/>
      </w:pPr>
      <w:r>
        <w:rPr>
          <w:sz w:val="22"/>
          <w:szCs w:val="22"/>
        </w:rPr>
        <w:t xml:space="preserve">功能修复与组织再生业务毛利率较高但收入占比约28.5%，公司利润改善对该业务持续增长和产品结构升级存在依赖；若高毛利业务增速放缓，可能导致综合盈利能力承压。</w:t>
      </w:r>
    </w:p>
    <w:p>
      <w:pPr>
        <w:pStyle w:val="ListParagraph"/>
        <w:numPr>
          <w:ilvl w:val="0"/>
          <w:numId w:val="2"/>
        </w:numPr>
        <w:spacing w:after="80" w:line="280"/>
      </w:pPr>
      <w:r>
        <w:rPr>
          <w:sz w:val="22"/>
          <w:szCs w:val="22"/>
        </w:rPr>
        <w:t xml:space="preserve">公司收购苏州杰思拜尔55%股权并于2026年2月纳入合并报表，但该标的2026年上半年对公司净利润影响为-345.41万元；后续若经营亏损、协同效应或盈利改善不及预期，可能带来并购整合及商誉减值风险。</w:t>
      </w:r>
    </w:p>
    <w:p>
      <w:pPr>
        <w:pStyle w:val="ListParagraph"/>
        <w:numPr>
          <w:ilvl w:val="0"/>
          <w:numId w:val="2"/>
        </w:numPr>
        <w:spacing w:after="80" w:line="280"/>
      </w:pPr>
      <w:r>
        <w:rPr>
          <w:sz w:val="22"/>
          <w:szCs w:val="22"/>
        </w:rPr>
        <w:t xml:space="preserve">部分募投项目延期并重新论证，可能影响研发中心建设、新产品注册、研发成果转化及产能布局进度；同时部分募集资金已用于杰思拜尔收购及增资，项目调整效果仍需进一步验证。</w:t>
      </w:r>
    </w:p>
    <w:p>
      <w:pPr>
        <w:pStyle w:val="ListParagraph"/>
        <w:numPr>
          <w:ilvl w:val="0"/>
          <w:numId w:val="2"/>
        </w:numPr>
        <w:spacing w:after="80" w:line="280"/>
      </w:pPr>
      <w:r>
        <w:rPr>
          <w:sz w:val="22"/>
          <w:szCs w:val="22"/>
        </w:rPr>
        <w:t xml:space="preserve">公司高端医用钛材、植入级PEEK、特殊陶瓷及关节假体毛坯等材料具有较高技术和认证要求，部分供应商短期难以替代；若供应保障、材料价格或国产替代进度发生不利变化，可能影响生产成本和供货稳定性。</w:t>
      </w:r>
    </w:p>
    <w:p>
      <w:pPr>
        <w:pStyle w:val="ListParagraph"/>
        <w:numPr>
          <w:ilvl w:val="0"/>
          <w:numId w:val="2"/>
        </w:numPr>
        <w:spacing w:after="80" w:line="280"/>
      </w:pPr>
      <w:r>
        <w:rPr>
          <w:sz w:val="22"/>
          <w:szCs w:val="22"/>
        </w:rPr>
        <w:t xml:space="preserve">截至2026年9月11日股价低于短期均线，且9月11日出现放量下跌和主力资金净流出；若21.35元附近支撑失守，技术面可能进一步测试19.80—20.20元区域。该技术情景受市场情绪、资金面及医药板块表现影响，不能视为确定性走势。</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威高骨科具备覆盖脊柱、创伤、关节、运动医学、智能设备和组织修复的综合产品平台，传统植入物业务规模基础较强，组织修复与再生、智能设备等业务增长较快。若下半年临床手术量恢复、集采影响趋稳，且高毛利业务和脊柱微创产品持续放量，公司利润率和盈利增长仍具备改善空间；机构平均预测2026—2028年归母净利润约为3.22亿元、3.86亿元和4.53亿元，但相关预测主要早于2026年中报，需结合后续经营数据验证。</w:t>
      </w:r>
    </w:p>
    <w:p>
      <w:pPr>
        <w:spacing w:after="160" w:line="300"/>
      </w:pPr>
      <w:r>
        <w:rPr>
          <w:sz w:val="22"/>
          <w:szCs w:val="22"/>
        </w:rPr>
        <w:t xml:space="preserve">当前基本面同时存在收入和利润同比下滑、经营现金流下降、传统植入物价格承压等短期约束。公司收购杰思拜尔已完成并表，但该标的2026年上半年对公司净利润影响为负，延期募投项目、并购协同及商誉减值等事项仍需观察。公司未来增长质量取决于新业务能否形成收入和利润贡献，以及收入增长能否抵消集采降价和产品结构变化影响。</w:t>
      </w:r>
    </w:p>
    <w:p>
      <w:pPr>
        <w:spacing w:after="160" w:line="300"/>
      </w:pPr>
      <w:r>
        <w:rPr>
          <w:sz w:val="22"/>
          <w:szCs w:val="22"/>
        </w:rPr>
        <w:t xml:space="preserve">近期股价处于短线偏弱状态，21.35—21.50元支撑能否有效、22.13元附近均线压力能否收复，可作为观察市场对公司业绩和预期变化的技术反馈，但技术指标不能替代对集采政策、手术量、现金流和并购整合进展的基本面判断。</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威高骨科(688161)_公司公告_威高骨科：威高骨科首次公开发行股票科创板上市公告书新浪财经_新浪网 — https://money.finance.sina.com.cn/corp/view/vCB_AllBulletinDetail.php?id=7347147&amp;stockid=688161&amp;utm_source=openai</w:t>
      </w:r>
    </w:p>
    <w:p>
      <w:pPr>
        <w:spacing w:after="200"/>
      </w:pPr>
      <w:r>
        <w:rPr>
          <w:i/>
          <w:iCs/>
          <w:color w:val="595959"/>
          <w:sz w:val="18"/>
          <w:szCs w:val="18"/>
        </w:rPr>
        <w:t xml:space="preserve">山东威高骨科材料股份有限公司2025年年度报告摘要|上海证券报 — https://paper.cnstock.com/html/2026-03/28/content_2193308.htm</w:t>
      </w:r>
    </w:p>
    <w:p>
      <w:pPr>
        <w:spacing w:after="200"/>
      </w:pPr>
      <w:r>
        <w:rPr>
          <w:i/>
          <w:iCs/>
          <w:color w:val="595959"/>
          <w:sz w:val="18"/>
          <w:szCs w:val="18"/>
        </w:rPr>
        <w:t xml:space="preserve">香港交易及結算所有限公司及香港聯合交易所有限公司對本公佈之內容概不 — https://www1.hkexnews.hk/listedco/listconews/sehk/2026/0327/2026032702655_c.pdf?utm_source=openai</w:t>
      </w:r>
    </w:p>
    <w:p>
      <w:pPr>
        <w:spacing w:after="200"/>
      </w:pPr>
      <w:r>
        <w:rPr>
          <w:i/>
          <w:iCs/>
          <w:color w:val="595959"/>
          <w:sz w:val="18"/>
          <w:szCs w:val="18"/>
        </w:rPr>
        <w:t xml:space="preserve">https://static.sse.com.cn/stock/disclosure/announcement/c/202010/000559_20201012_N75G.pdf — https://static.sse.com.cn/stock/disclosure/announcement/c/202010/000559_20201012_N75G.pdf</w:t>
      </w:r>
    </w:p>
    <w:p>
      <w:pPr>
        <w:spacing w:after="200"/>
      </w:pPr>
      <w:r>
        <w:rPr>
          <w:i/>
          <w:iCs/>
          <w:color w:val="595959"/>
          <w:sz w:val="18"/>
          <w:szCs w:val="18"/>
        </w:rPr>
        <w:t xml:space="preserve">关于山东威高骨科材料股份有限公司的定期报告信息披露监管问询函 — https://static.cninfo.com.cn/finalpage/2024-06-24/1220437067.PDF?utm_source=openai</w:t>
      </w:r>
    </w:p>
    <w:p>
      <w:pPr>
        <w:spacing w:after="200"/>
      </w:pPr>
      <w:r>
        <w:rPr>
          <w:i/>
          <w:iCs/>
          <w:color w:val="595959"/>
          <w:sz w:val="18"/>
          <w:szCs w:val="18"/>
        </w:rPr>
        <w:t xml:space="preserve">山东威高骨科材料股份有限公司 — https://static.sse.com.cn/stock/disclosure/announcement/c/202010/000559_20201012_N75G.pdf?utm_source=openai</w:t>
      </w:r>
    </w:p>
    <w:p>
      <w:pPr>
        <w:spacing w:after="200"/>
      </w:pPr>
      <w:r>
        <w:rPr>
          <w:i/>
          <w:iCs/>
          <w:color w:val="595959"/>
          <w:sz w:val="18"/>
          <w:szCs w:val="18"/>
        </w:rPr>
        <w:t xml:space="preserve">山东威高骨科材料股份有限公司关于2023年年报问询函回复的公告|上海证券报 — https://paper.cnstock.com/html/2024-06/24/content_1934204.htm</w:t>
      </w:r>
    </w:p>
    <w:p>
      <w:pPr>
        <w:spacing w:after="200"/>
      </w:pPr>
      <w:r>
        <w:rPr>
          <w:i/>
          <w:iCs/>
          <w:color w:val="595959"/>
          <w:sz w:val="18"/>
          <w:szCs w:val="18"/>
        </w:rPr>
        <w:t xml:space="preserve">威高骨科(688161)_公司公告_威高骨科：2025年年度报告新浪财经_新浪网 — https://money.finance.sina.com.cn/corp/view/vCB_AllBulletinDetail.php?id=12031511&amp;stockid=688161&amp;utm_source=openai</w:t>
      </w:r>
    </w:p>
    <w:p>
      <w:pPr>
        <w:spacing w:after="200"/>
      </w:pPr>
      <w:r>
        <w:rPr>
          <w:i/>
          <w:iCs/>
          <w:color w:val="595959"/>
          <w:sz w:val="18"/>
          <w:szCs w:val="18"/>
        </w:rPr>
        <w:t xml:space="preserve">山东威高骨科材料股份有限公司2025年年度报告 — https://static.cninfo.com.cn/finalpage/2026-03-28/1225047100.PDF?utm_source=openai</w:t>
      </w:r>
    </w:p>
    <w:p>
      <w:pPr>
        <w:spacing w:after="200"/>
      </w:pPr>
      <w:r>
        <w:rPr>
          <w:i/>
          <w:iCs/>
          <w:color w:val="595959"/>
          <w:sz w:val="18"/>
          <w:szCs w:val="18"/>
        </w:rPr>
        <w:t xml:space="preserve">威高骨科(688161)财务指标_新浪财经_新浪网 — https://money.finance.sina.com.cn/corp/go.php/vFD_FinancialGuideLine/stockid/688161/ctrl/2025/displaytype/4.phtml?utm_source=openai</w:t>
      </w:r>
    </w:p>
    <w:p>
      <w:pPr>
        <w:spacing w:after="200"/>
      </w:pPr>
      <w:r>
        <w:rPr>
          <w:i/>
          <w:iCs/>
          <w:color w:val="595959"/>
          <w:sz w:val="18"/>
          <w:szCs w:val="18"/>
        </w:rPr>
        <w:t xml:space="preserve">威高骨科(688161)_公司公告_威高骨科：山东威高骨科材料股份有限公司2021年年度报告（修订版）新浪财经_新浪网 — https://money.finance.sina.com.cn/corp/view/vCB_AllBulletinDetail.php?id=7933421&amp;stockid=688161&amp;utm_source=openai</w:t>
      </w:r>
    </w:p>
    <w:p>
      <w:pPr>
        <w:spacing w:after="200"/>
      </w:pPr>
      <w:r>
        <w:rPr>
          <w:i/>
          <w:iCs/>
          <w:color w:val="595959"/>
          <w:sz w:val="18"/>
          <w:szCs w:val="18"/>
        </w:rPr>
        <w:t xml:space="preserve">〖行业深度〗2024年中国骨科植入医疗器械行业竞争格局及市场份额分析 国产市场集中度较低_前瞻趋势 - 前瞻产业研究院 — https://bg.qianzhan.com/trends/detail/506/240124-24c161e8.html?utm_source=openai</w:t>
      </w:r>
    </w:p>
    <w:p>
      <w:pPr>
        <w:spacing w:after="200"/>
      </w:pPr>
      <w:r>
        <w:rPr>
          <w:i/>
          <w:iCs/>
          <w:color w:val="595959"/>
          <w:sz w:val="18"/>
          <w:szCs w:val="18"/>
        </w:rPr>
        <w:t xml:space="preserve">公司与行业内可比上市公司在骨科植入医疗器械的产品布局对比情况如下： — https://www.bse.cn/disclosure/2026/2026-01-23/1769171534_440536.pdf?utm_source=openai</w:t>
      </w:r>
    </w:p>
    <w:p>
      <w:pPr>
        <w:spacing w:after="200"/>
      </w:pPr>
      <w:r>
        <w:rPr>
          <w:i/>
          <w:iCs/>
          <w:color w:val="595959"/>
          <w:sz w:val="18"/>
          <w:szCs w:val="18"/>
        </w:rPr>
        <w:t xml:space="preserve">山东威高骨科材料股份有限公司2026年半年度报告摘要 — https://static.cninfo.com.cn/finalpage/2026-08-26/1225507422.PDF?utm_source=openai</w:t>
      </w:r>
    </w:p>
    <w:p>
      <w:pPr>
        <w:spacing w:after="200"/>
      </w:pPr>
      <w:r>
        <w:rPr>
          <w:i/>
          <w:iCs/>
          <w:color w:val="595959"/>
          <w:sz w:val="18"/>
          <w:szCs w:val="18"/>
        </w:rPr>
        <w:t xml:space="preserve">威高骨科(688161)_公司公告_威高骨科：2026年半年度报告摘要新浪财经_新浪网 — https://money.finance.sina.com.cn/corp/view/vCB_AllBulletinDetail.php?id=12540157&amp;stockid=688161&amp;utm_source=openai</w:t>
      </w:r>
    </w:p>
    <w:p>
      <w:pPr>
        <w:spacing w:after="200"/>
      </w:pPr>
      <w:r>
        <w:rPr>
          <w:i/>
          <w:iCs/>
          <w:color w:val="595959"/>
          <w:sz w:val="18"/>
          <w:szCs w:val="18"/>
        </w:rPr>
        <w:t xml:space="preserve">威高骨科(688161)_公司公告_威高骨科：2026年半年度报告新浪财经_新浪网 — https://money.finance.sina.com.cn/corp/view/vCB_AllBulletinDetail.php?id=12540159&amp;stockid=688161</w:t>
      </w:r>
    </w:p>
    <w:p>
      <w:pPr>
        <w:spacing w:after="200"/>
      </w:pPr>
      <w:r>
        <w:rPr>
          <w:i/>
          <w:iCs/>
          <w:color w:val="595959"/>
          <w:sz w:val="18"/>
          <w:szCs w:val="18"/>
        </w:rPr>
        <w:t xml:space="preserve">威高骨科（688161）2026年中报简析：净利润同比下降6.85%，应收账款上升_股票频道_证券之星 — https://stock.stockstar.com/RB2026082700011365.shtml?utm_source=openai</w:t>
      </w:r>
    </w:p>
    <w:p>
      <w:pPr>
        <w:spacing w:after="200"/>
      </w:pPr>
      <w:r>
        <w:rPr>
          <w:i/>
          <w:iCs/>
          <w:color w:val="595959"/>
          <w:sz w:val="18"/>
          <w:szCs w:val="18"/>
        </w:rPr>
        <w:t xml:space="preserve">威高骨科(688161) 盈利预测_F10_同花顺金融服务网 — https://basic.10jqka.com.cn/688161/worth.html?utm_source=openai</w:t>
      </w:r>
    </w:p>
    <w:p>
      <w:pPr>
        <w:spacing w:after="200"/>
      </w:pPr>
      <w:r>
        <w:rPr>
          <w:i/>
          <w:iCs/>
          <w:color w:val="595959"/>
          <w:sz w:val="18"/>
          <w:szCs w:val="18"/>
        </w:rPr>
        <w:t xml:space="preserve">威高骨科(688161) 盈利预测_F10_同花顺金融服务网 — https://basic.10jqka.com.cn/688161/worth.html</w:t>
      </w:r>
    </w:p>
    <w:p>
      <w:pPr>
        <w:spacing w:after="200"/>
      </w:pPr>
      <w:r>
        <w:rPr>
          <w:i/>
          <w:iCs/>
          <w:color w:val="595959"/>
          <w:sz w:val="18"/>
          <w:szCs w:val="18"/>
        </w:rPr>
        <w:t xml:space="preserve">威高骨科(688161)股票最新价格行情,实时走势图,股价分析预测_英为财情Investing.com — https://cn.investing.com/equities/shandong-weigao-orthopaedic-device?utm_source=openai</w:t>
      </w:r>
    </w:p>
    <w:p>
      <w:pPr>
        <w:spacing w:after="200"/>
      </w:pPr>
      <w:r>
        <w:rPr>
          <w:i/>
          <w:iCs/>
          <w:color w:val="595959"/>
          <w:sz w:val="18"/>
          <w:szCs w:val="18"/>
        </w:rPr>
        <w:t xml:space="preserve">威高骨科(688161) 最新动态_F10_同花顺金融服务网 — https://basic.10jqka.com.cn/688161/?utm_source=openai</w:t>
      </w:r>
    </w:p>
    <w:p>
      <w:pPr>
        <w:spacing w:after="200"/>
      </w:pPr>
      <w:r>
        <w:rPr>
          <w:i/>
          <w:iCs/>
          <w:color w:val="595959"/>
          <w:sz w:val="18"/>
          <w:szCs w:val="18"/>
        </w:rPr>
        <w:t xml:space="preserve">威高骨科(688161.SH) 股票行情_历史数据_主力资金 - 大波浪数据 — https://www.yyqyx.com/s/688161.SH?utm_source=openai</w:t>
      </w:r>
    </w:p>
    <w:p>
      <w:pPr>
        <w:spacing w:after="200"/>
      </w:pPr>
      <w:r>
        <w:rPr>
          <w:i/>
          <w:iCs/>
          <w:color w:val="595959"/>
          <w:sz w:val="18"/>
          <w:szCs w:val="18"/>
        </w:rPr>
        <w:t xml:space="preserve">威高骨科(688161)_公司公告_威高骨科：2026年半年度报告新浪财经_新浪网 — https://money.finance.sina.com.cn/corp/view/vCB_AllBulletinDetail.php?id=12540159&amp;stockid=688161&amp;utm_source=openai</w:t>
      </w:r>
    </w:p>
    <w:p>
      <w:pPr>
        <w:spacing w:after="200"/>
      </w:pPr>
      <w:r>
        <w:rPr>
          <w:i/>
          <w:iCs/>
          <w:color w:val="595959"/>
          <w:sz w:val="18"/>
          <w:szCs w:val="18"/>
        </w:rPr>
        <w:t xml:space="preserve">证券代码：688161 — https://star.sse.com.cn/disclosure/listedinfo/announcement/c/new/2026-01-14/688161_20260114_TK8F.pdf?utm_source=openai</w:t>
      </w:r>
    </w:p>
    <w:p>
      <w:pPr>
        <w:spacing w:after="200"/>
      </w:pPr>
      <w:r>
        <w:rPr>
          <w:i/>
          <w:iCs/>
          <w:color w:val="595959"/>
          <w:sz w:val="18"/>
          <w:szCs w:val="18"/>
        </w:rPr>
        <w:t xml:space="preserve">威高骨科(688161)_公司公告_威高骨科：关于参加科创板2026年半年度医疗器械及医疗设备行业集体业绩说明会的公告新浪财经_新浪网 — https://money.finance.sina.com.cn/corp/view/vCB_AllBulletinDetail.php?id=12589166&amp;stockid=688161&amp;utm_source=openai</w:t>
      </w:r>
    </w:p>
    <w:p>
      <w:pPr>
        <w:spacing w:after="200"/>
      </w:pPr>
      <w:r>
        <w:rPr>
          <w:i/>
          <w:iCs/>
          <w:color w:val="595959"/>
          <w:sz w:val="18"/>
          <w:szCs w:val="18"/>
        </w:rPr>
        <w:t xml:space="preserve">威高骨科(688161)公司公告_新浪财经_新浪网 — https://money.finance.sina.com.cn/corp/go.php/vCB_AllBulletin/stockid/688161.phtml?utm_source=openai</w:t>
      </w:r>
    </w:p>
    <w:p>
      <w:pPr>
        <w:spacing w:after="200"/>
      </w:pPr>
      <w:r>
        <w:rPr>
          <w:i/>
          <w:iCs/>
          <w:color w:val="595959"/>
          <w:sz w:val="18"/>
          <w:szCs w:val="18"/>
        </w:rPr>
        <w:t xml:space="preserve">威高骨科(688161):使用部分闲置自有资金进行现金管理- CFi.CN 中财网 — https://cfi.net.cn/p20260826001086.html?utm_source=openai</w:t>
      </w:r>
    </w:p>
    <w:p>
      <w:pPr>
        <w:spacing w:after="200"/>
      </w:pPr>
      <w:r>
        <w:rPr>
          <w:i/>
          <w:iCs/>
          <w:color w:val="595959"/>
          <w:sz w:val="18"/>
          <w:szCs w:val="18"/>
        </w:rPr>
        <w:t xml:space="preserve">威高骨科(688161)交易提示_证券之星 — https://stock.quote.stockstar.com/info/notice_688161.shtml?utm_source=openai</w:t>
      </w:r>
    </w:p>
    <w:p>
      <w:pPr>
        <w:spacing w:after="200"/>
      </w:pPr>
      <w:r>
        <w:rPr>
          <w:i/>
          <w:iCs/>
          <w:color w:val="595959"/>
          <w:sz w:val="18"/>
          <w:szCs w:val="18"/>
        </w:rPr>
        <w:t xml:space="preserve">威高骨科(688161)_公司公告_威高骨科：关于2025年年报问询函回复的公告新浪财经_新浪网 — https://vip.stock.finance.sina.com.cn/corp/view/vCB_AllBulletinDetail.php?id=12441009&amp;stockid=688161&amp;utm_source=openai</w:t>
      </w:r>
    </w:p>
    <w:p>
      <w:pPr>
        <w:spacing w:after="200"/>
      </w:pPr>
      <w:r>
        <w:rPr>
          <w:i/>
          <w:iCs/>
          <w:color w:val="595959"/>
          <w:sz w:val="18"/>
          <w:szCs w:val="18"/>
        </w:rPr>
        <w:t xml:space="preserve">威高骨科(688161)_公司公告_威高骨科：关于变更部分募投项目暨收购苏州杰思拜尔医疗科技有限公司股权并对其增资的公告新浪财经_新浪网 — https://money.finance.sina.com.cn/corp/view/vCB_AllBulletinDetail.php?id=11697784&amp;stockid=688161&amp;utm_source=openai</w:t>
      </w:r>
    </w:p>
    <w:p>
      <w:pPr>
        <w:spacing w:after="200"/>
      </w:pPr>
      <w:r>
        <w:rPr>
          <w:i/>
          <w:iCs/>
          <w:color w:val="595959"/>
          <w:sz w:val="18"/>
          <w:szCs w:val="18"/>
        </w:rPr>
        <w:t xml:space="preserve">威高骨科(688161)股票信息 - 数据平台 — https://data.agoer.com/cms/Index/detail?id=688161&amp;utm_source=openai</w:t>
      </w:r>
    </w:p>
    <w:p>
      <w:pPr>
        <w:spacing w:after="200"/>
      </w:pPr>
      <w:r>
        <w:rPr>
          <w:i/>
          <w:iCs/>
          <w:color w:val="595959"/>
          <w:sz w:val="18"/>
          <w:szCs w:val="18"/>
        </w:rPr>
        <w:t xml:space="preserve">威高骨科(688161.SH) 股票行情_历史数据_主力资金 - 大波浪数据 — https://www.yyqyx.com/s/688161.SH</w:t>
      </w:r>
    </w:p>
    <w:p>
      <w:pPr>
        <w:spacing w:after="200"/>
      </w:pPr>
      <w:r>
        <w:rPr>
          <w:i/>
          <w:iCs/>
          <w:color w:val="595959"/>
          <w:sz w:val="18"/>
          <w:szCs w:val="18"/>
        </w:rPr>
        <w:t xml:space="preserve">本报告由AI基于公开渠道信息自动检索、整理并生成，信息截至 截至2026年9月11日收盘；价格、成交量及技术指标存在不同平台数据口径差异，均线、MACD、RSI和布林带采用不复权日线数据。，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2026-09-13T12:33:35.533Z</dcterms:created>
  <dcterms:modified xsi:type="dcterms:W3CDTF">2026-09-13T12:33:35.533Z</dcterms:modified>
</cp:coreProperties>
</file>

<file path=docProps/custom.xml><?xml version="1.0" encoding="utf-8"?>
<Properties xmlns="http://schemas.openxmlformats.org/officeDocument/2006/custom-properties" xmlns:vt="http://schemas.openxmlformats.org/officeDocument/2006/docPropsVTypes"/>
</file>