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北京石头世纪科技股份有限公司（石头科技） (688169)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行业：智能清洁机器人及智能硬件</w:t>
      </w:r>
    </w:p>
    <w:p>
      <w:pPr>
        <w:jc w:val="center"/>
      </w:pPr>
      <w:r>
        <w:rPr>
          <w:color w:val="595959"/>
          <w:sz w:val="22"/>
          <w:szCs w:val="22"/>
        </w:rPr>
        <w:t xml:space="preserve">报告日期：2026年9月13日</w:t>
      </w:r>
    </w:p>
    <w:p>
      <w:pPr>
        <w:jc w:val="center"/>
      </w:pPr>
      <w:r>
        <w:rPr>
          <w:color w:val="595959"/>
          <w:sz w:val="20"/>
          <w:szCs w:val="20"/>
        </w:rPr>
        <w:t xml:space="preserve">截至2026年9月11日收盘；部分技术指标、资金流向及股东结构数据分别截至2026年9月8日、9月9日、9月30日?研究纪要中未出现9月30日数据，应以各字段注明日期为准</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石头科技2026年上半年经营出现明显修复：营业收入100.84亿元，同比增长27.60%；归母净利润9.86亿元，同比增长45.60%；扣非归母净利润同比增长60.74%，经营活动现金流由上年同期净流出8.23亿元改善至净流入3.98亿元。二季度收入和利润增速进一步加快，海外收入约60.7亿元、同比增长53.8%，成为主要增长来源；但上半年利润中包含约1.92亿元IEEPA关税退税收益，盈利改善的常态化程度仍需结合年度审计结果及扣非表现判断。</w:t>
      </w:r>
    </w:p>
    <w:p>
      <w:pPr>
        <w:spacing w:after="160" w:line="300"/>
      </w:pPr>
      <w:r>
        <w:rPr>
          <w:sz w:val="22"/>
          <w:szCs w:val="22"/>
        </w:rPr>
        <w:t xml:space="preserve">公司长期增长逻辑主要来自海外市场扩张、扫地机器人技术迭代和新品类培育。2025年境外主营业务收入占比约55.9%，境外毛利率48.15%，高于境内的35.07%；研发投入14.20亿元，同比增长46.13%，研发人员占总人数42.90%。洗地机新品放量、智能割草机及其他智能电器拓展，有助于扩大产品矩阵，但扫地机器人及配件仍占2025年主营业务收入约81.2%，业务结构仍较集中。</w:t>
      </w:r>
    </w:p>
    <w:p>
      <w:pPr>
        <w:spacing w:after="160" w:line="300"/>
      </w:pPr>
      <w:r>
        <w:rPr>
          <w:sz w:val="22"/>
          <w:szCs w:val="22"/>
        </w:rPr>
        <w:t xml:space="preserve">2025年公司收入增长与盈利表现出现背离：营业收入186.95亿元，同比增长56.51%，但归母净利润13.63亿元，同比下降31.03%，主营业务毛利率降至42.38%。全价格带布局、低价产品和ODM模式增加，海外关税及履约成本、渠道建设、品牌营销和新品投入共同压低利润率；同时存货同比增长78.19%至26.55亿元，库存商品23.85亿元，反映新品、海外备货和渠道扩张带来的营运资金占用。</w:t>
      </w:r>
    </w:p>
    <w:p>
      <w:pPr>
        <w:spacing w:after="160" w:line="300"/>
      </w:pPr>
      <w:r>
        <w:rPr>
          <w:sz w:val="22"/>
          <w:szCs w:val="22"/>
        </w:rPr>
        <w:t xml:space="preserve">截至2026年9月11日，股价为119.62元，短期低于MA5、MA10、MA20和MA50，MACD动能偏弱，近期主力资金在一项统计口径下连续净流出，但股价仍高于MA100、MA200及估算布林下轨。当前市场定价约为18.6至19.7倍动态市盈率，机构一致预期2026年归母净利润为19.85亿元；后续估值能否由盈利兑现消化，取决于海外增长、利润率修复和退税收益剔除后的经营质量。</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688169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石头科技</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智能机器人等智能硬件的设计、研发、生产和销售，核心产品包括智能扫地机器人及配件、洗地机、智能割草机、洗烘一体机及其他智能电器</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186.95亿元；主营业务收入186.80亿元，纪要中两项口径存在差异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2025年主营业务收入结构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智能扫地机及配件收入151.73亿元，占主营业务收入约81.2%；其他智能电器产品收入35.07亿元，占约18.8%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2025年区域收入结构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境外主营业务收入104.42亿元，占约55.9%；境内收入82.39亿元，占约44.1%</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2025年销售模式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直营收入89.73亿元，经销收入97.08亿元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2025年研发投入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14.20亿元，同比增长46.13%，占营业收入约7.59%</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2025年研发人员</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1,481人，占公司总人数42.90%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2025年生产模式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自建工厂自主生产与委外加工相结合，并通过外购配件或整机补充产能</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2025年产销情况</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智能扫地机生产量626.50万台、销售量561.90万台、期末库存134.58万台；其他智能电器产品生产量261.18万台、销售量216.90万台、期末库存65.06万台。上述产量不等同于设计产能</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产能披露情况</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截至2025年年度报告，公司未披露完整的年设计产能、产能利用率及在建产能数据</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核心技术储备</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激光雷达导航、3D-TOF、视觉避障、运动控制、多模态感知、AI决策、大模型、机械臂、轮足式移动和智能执行等</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智能扫地机器人及配件：覆盖感知定位、激光雷达导航、SLAM算法、AI避障、运动控制、清洁执行、自动上下水、全基站自清洁及仿生机械臂等环节，2025年推出或量产G30Space探索版、P20UltraPlus、P20活水版等产品</w:t>
      </w:r>
    </w:p>
    <w:p>
      <w:pPr>
        <w:pStyle w:val="ListParagraph"/>
        <w:numPr>
          <w:ilvl w:val="0"/>
          <w:numId w:val="2"/>
        </w:numPr>
        <w:spacing w:after="80" w:line="280"/>
      </w:pPr>
      <w:r>
        <w:rPr>
          <w:sz w:val="22"/>
          <w:szCs w:val="22"/>
        </w:rPr>
        <w:t xml:space="preserve">洗地机：面向地面深度清洁场景，涉及蒸汽热水双效洗地、AI双向助力、蒸汽自清洁及多功能模块化设计；2025年新品放量，带动其他智能电器产品收入增长</w:t>
      </w:r>
    </w:p>
    <w:p>
      <w:pPr>
        <w:pStyle w:val="ListParagraph"/>
        <w:numPr>
          <w:ilvl w:val="0"/>
          <w:numId w:val="2"/>
        </w:numPr>
        <w:spacing w:after="80" w:line="280"/>
      </w:pPr>
      <w:r>
        <w:rPr>
          <w:sz w:val="22"/>
          <w:szCs w:val="22"/>
        </w:rPr>
        <w:t xml:space="preserve">智能割草机：面向庭院、别墅等户外场景，产品包括RockMow、RockNeo系列，采用RTK或LiDAR融合定位、AI建图、视觉避障、四驱、主动转向和动态悬挂等技术</w:t>
      </w:r>
    </w:p>
    <w:p>
      <w:pPr>
        <w:pStyle w:val="ListParagraph"/>
        <w:numPr>
          <w:ilvl w:val="0"/>
          <w:numId w:val="2"/>
        </w:numPr>
        <w:spacing w:after="80" w:line="280"/>
      </w:pPr>
      <w:r>
        <w:rPr>
          <w:sz w:val="22"/>
          <w:szCs w:val="22"/>
        </w:rPr>
        <w:t xml:space="preserve">洗烘一体机及其他智能电器：涉及分子筛吸附式烘干技术、洗烘一体机和手持清洁产品；洗烘一体机仍处于产品培育和阶段性调整阶段，尚不是收入主体</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石头科技位于智能清洁电器产业链中游偏下游，是技术研发、算法、品牌和整机制造驱动的智能清洁产品企业，既不是掌握上游资源的资源型公司，也不是单纯代工厂。其利润主要受产品技术溢价、品牌溢价、产品结构、海外渠道、规模效应和供应链效率影响。</w:t>
      </w:r>
    </w:p>
    <w:p>
      <w:pPr>
        <w:pStyle w:val="ListParagraph"/>
        <w:numPr>
          <w:ilvl w:val="0"/>
          <w:numId w:val="2"/>
        </w:numPr>
        <w:spacing w:after="80" w:line="280"/>
      </w:pPr>
      <w:r>
        <w:rPr>
          <w:sz w:val="22"/>
          <w:szCs w:val="22"/>
        </w:rPr>
        <w:t xml:space="preserve">主要采购电子及智能化器件，包括传感器、激光雷达、摄像头、芯片、控制器和通信模组等。</w:t>
      </w:r>
    </w:p>
    <w:p>
      <w:pPr>
        <w:pStyle w:val="ListParagraph"/>
        <w:numPr>
          <w:ilvl w:val="0"/>
          <w:numId w:val="2"/>
        </w:numPr>
        <w:spacing w:after="80" w:line="280"/>
      </w:pPr>
      <w:r>
        <w:rPr>
          <w:sz w:val="22"/>
          <w:szCs w:val="22"/>
        </w:rPr>
        <w:t xml:space="preserve">主要采购电机及动力部件，包括风机、电机、电池和电源管理部件等。</w:t>
      </w:r>
    </w:p>
    <w:p>
      <w:pPr>
        <w:pStyle w:val="ListParagraph"/>
        <w:numPr>
          <w:ilvl w:val="0"/>
          <w:numId w:val="2"/>
        </w:numPr>
        <w:spacing w:after="80" w:line="280"/>
      </w:pPr>
      <w:r>
        <w:rPr>
          <w:sz w:val="22"/>
          <w:szCs w:val="22"/>
        </w:rPr>
        <w:t xml:space="preserve">主要采购结构与清洁执行部件，包括塑胶件、金属结构件、滚刷、边刷、水箱、尘盒和基站部件等，同时涉及包装、模具、加工、外购整机及委外加工服务。</w:t>
      </w:r>
    </w:p>
    <w:p>
      <w:pPr>
        <w:pStyle w:val="ListParagraph"/>
        <w:numPr>
          <w:ilvl w:val="0"/>
          <w:numId w:val="2"/>
        </w:numPr>
        <w:spacing w:after="80" w:line="280"/>
      </w:pPr>
      <w:r>
        <w:rPr>
          <w:sz w:val="22"/>
          <w:szCs w:val="22"/>
        </w:rPr>
        <w:t xml:space="preserve">2025年智能硬件成本中，原材料成本78.67亿元，占智能硬件营业成本73.09%；加工费11.04亿元，占10.26%；外购配件或整机15.60亿元，占14.49%。外购配件或整机成本同比大幅增加，主要与多元化产能布局及低价格产品ODM模式增加有关。</w:t>
      </w:r>
    </w:p>
    <w:p>
      <w:pPr>
        <w:pStyle w:val="ListParagraph"/>
        <w:numPr>
          <w:ilvl w:val="0"/>
          <w:numId w:val="2"/>
        </w:numPr>
        <w:spacing w:after="80" w:line="280"/>
      </w:pPr>
      <w:r>
        <w:rPr>
          <w:sz w:val="22"/>
          <w:szCs w:val="22"/>
        </w:rPr>
        <w:t xml:space="preserve">2025年前五大供应商采购额33.64亿元，占年度采购总额31.50%；单一最大供应商占8.22%，前五大供应商均不是关联方。供应商集中度不算极端，但芯片、传感器、电机和电池等关键器件仍可能受到供货、价格及技术迭代影响。</w:t>
      </w:r>
    </w:p>
    <w:p>
      <w:pPr>
        <w:pStyle w:val="ListParagraph"/>
        <w:numPr>
          <w:ilvl w:val="0"/>
          <w:numId w:val="2"/>
        </w:numPr>
        <w:spacing w:after="80" w:line="280"/>
      </w:pPr>
      <w:r>
        <w:rPr>
          <w:sz w:val="22"/>
          <w:szCs w:val="22"/>
        </w:rPr>
        <w:t xml:space="preserve">公司上游议价能力主要来自规模采购、供应商多元化、长期框架协议和产品设计替代，并非资源垄断型议价能力；对部分电子元器件和核心器件价格仍具有一定被动性。</w:t>
      </w:r>
    </w:p>
    <w:p>
      <w:pPr>
        <w:pStyle w:val="ListParagraph"/>
        <w:numPr>
          <w:ilvl w:val="0"/>
          <w:numId w:val="2"/>
        </w:numPr>
        <w:spacing w:after="80" w:line="280"/>
      </w:pPr>
      <w:r>
        <w:rPr>
          <w:sz w:val="22"/>
          <w:szCs w:val="22"/>
        </w:rPr>
        <w:t xml:space="preserve">下游包括海外经销商、零售商及本地渠道，国内外电商平台，公司自营线上及线下渠道和终端消费者。</w:t>
      </w:r>
    </w:p>
    <w:p>
      <w:pPr>
        <w:pStyle w:val="ListParagraph"/>
        <w:numPr>
          <w:ilvl w:val="0"/>
          <w:numId w:val="2"/>
        </w:numPr>
        <w:spacing w:after="80" w:line="280"/>
      </w:pPr>
      <w:r>
        <w:rPr>
          <w:sz w:val="22"/>
          <w:szCs w:val="22"/>
        </w:rPr>
        <w:t xml:space="preserve">2025年前五大客户销售额50.45亿元，占年度销售总额26.99%；第一大客户占10.00%，第二大客户占9.38%，前五大客户不存在关联方销售。该数据为2025年度数据，客户名称部分因商业秘密被豁免披露，无法进一步判断大型平台、海外经销商或其他客户类型，具体客户结构以最新年报为准。</w:t>
      </w:r>
    </w:p>
    <w:p>
      <w:pPr>
        <w:pStyle w:val="ListParagraph"/>
        <w:numPr>
          <w:ilvl w:val="0"/>
          <w:numId w:val="2"/>
        </w:numPr>
        <w:spacing w:after="80" w:line="280"/>
      </w:pPr>
      <w:r>
        <w:rPr>
          <w:sz w:val="22"/>
          <w:szCs w:val="22"/>
        </w:rPr>
        <w:t xml:space="preserve">2025年境外主营业务收入104.42亿元，占主营业务收入约55.9%；境外毛利率48.15%，高于境内毛利率35.07%。海外业务同时承担关税、运费、售后服务、本地渠道建设和营销投入，海外收入增长不必然对应利润率同步提升。</w:t>
      </w:r>
    </w:p>
    <w:p>
      <w:pPr>
        <w:pStyle w:val="ListParagraph"/>
        <w:numPr>
          <w:ilvl w:val="0"/>
          <w:numId w:val="2"/>
        </w:numPr>
        <w:spacing w:after="80" w:line="280"/>
      </w:pPr>
      <w:r>
        <w:rPr>
          <w:sz w:val="22"/>
          <w:szCs w:val="22"/>
        </w:rPr>
        <w:t xml:space="preserve">国内电商和平台渠道掌握较强流量及营销资源，品牌商需要持续承担平台费用、投流费用和促销费用；海外市场则需要通过经销商、零售商或本地直营渠道进入，渠道建设周期较长。</w:t>
      </w:r>
    </w:p>
    <w:p>
      <w:pPr>
        <w:pStyle w:val="ListParagraph"/>
        <w:numPr>
          <w:ilvl w:val="0"/>
          <w:numId w:val="2"/>
        </w:numPr>
        <w:spacing w:after="80" w:line="280"/>
      </w:pPr>
      <w:r>
        <w:rPr>
          <w:sz w:val="22"/>
          <w:szCs w:val="22"/>
        </w:rPr>
        <w:t xml:space="preserve">清洁电器产品更新速度较快，厂商需要依靠新品、价格带扩张和促销维持份额；售后、安装、耗材和软件服务也会影响品牌口碑和渠道竞争力。</w:t>
      </w:r>
    </w:p>
    <w:p>
      <w:pPr>
        <w:pStyle w:val="ListParagraph"/>
        <w:numPr>
          <w:ilvl w:val="0"/>
          <w:numId w:val="2"/>
        </w:numPr>
        <w:spacing w:after="80" w:line="280"/>
      </w:pPr>
      <w:r>
        <w:rPr>
          <w:sz w:val="22"/>
          <w:szCs w:val="22"/>
        </w:rPr>
        <w:t xml:space="preserve">公司2025年收入大幅增长但利润下降，反映全价格带布局、低价产品和ODM模式增加、海外渠道建设及行业价格竞争对利润率形成压力。</w:t>
      </w:r>
    </w:p>
    <w:p>
      <w:pPr>
        <w:pStyle w:val="ListParagraph"/>
        <w:numPr>
          <w:ilvl w:val="0"/>
          <w:numId w:val="2"/>
        </w:numPr>
        <w:spacing w:after="80" w:line="280"/>
      </w:pPr>
      <w:r>
        <w:rPr>
          <w:sz w:val="22"/>
          <w:szCs w:val="22"/>
        </w:rPr>
        <w:t xml:space="preserve">截至2025年12月31日，应收账款11.18亿元，占总资产5.68%，约相当于营业收入的5.98%，应收账款周转天数约20.8天；预付款项1.41亿元，同比增长43.70%；存货26.55亿元，占总资产13.50%，同比增长78.19%，其中库存商品23.85亿元；应付账款29.21亿元，明显高于应收账款规模。应收回款压力相对可控，但新品备货、海外备货和自营渠道扩张推动库存及营运资金占用上升。</w:t>
      </w:r>
    </w:p>
    <w:p>
      <w:pPr>
        <w:pStyle w:val="ListParagraph"/>
        <w:numPr>
          <w:ilvl w:val="0"/>
          <w:numId w:val="2"/>
        </w:numPr>
        <w:spacing w:after="80" w:line="280"/>
      </w:pPr>
      <w:r>
        <w:rPr>
          <w:sz w:val="22"/>
          <w:szCs w:val="22"/>
        </w:rPr>
        <w:t xml:space="preserve">供应端：2025年前五大供应商占采购总额31.50%，最大供应商占8.22%；需求端：2025年前五大客户占销售总额26.99%，第一大客户占10.00%。上述集中度数据均为2025年度，客户名称部分被豁免披露，且纪要未提供其他年度数据进行交叉比较，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约48.11%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约24.03%</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处于高端扫地机器人快速增长期，产品结构和品牌溢价较好，销售费用率相对可控；毛利率数据来自华泰证券历史研究资料，属于二手整理，建议以公司原始年报为最终依据。</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主营业务毛利率约49.32%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约17.85%</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收入继续增长，但海外拓展、品牌营销和新品投放加大，销售费用增加，净利率下降。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约55.13%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约23.70%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海外高端新品放量、产品结构改善和规模效应释放，推动毛利率回升；归母净利润达到20.51亿元。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约50.15%—50.36%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约16.55%</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行业竞争加剧，公司加大品牌投入、渠道拓展和新品投放，毛利率和净利率较2023年回落；毛利率区间源于纪要披露。</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主营业务毛利率42.38%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约7.29%</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全价格带布局、低价产品和ODM模式增加，海外关税、售后、渠道建设及品牌营销投入上升；营业成本同比增长80.96%，销售费用同比增长64.95%，归母净利润下降31.03%。</w:t>
            </w:r>
          </w:p>
        </w:tc>
      </w:tr>
    </w:tbl>
    <w:p>
      <w:pPr>
        <w:spacing w:before="200"/>
      </w:pPr>
    </w:p>
    <w:p>
      <w:pPr>
        <w:spacing w:after="160" w:line="300"/>
      </w:pPr>
      <w:r>
        <w:rPr>
          <w:sz w:val="22"/>
          <w:szCs w:val="22"/>
        </w:rPr>
        <w:t xml:space="preserve">公司处于智能清洁电器产业链中游偏下游，属于技术研发、算法和品牌驱动的整机企业，整体并非上游资源型高毛利或单纯代工型薄利环节。进一步提升利润率主要依赖高端产品占比提升、新品规模效应释放、产品结构优化、海外履约成本下降、供应链效率改善及渠道补贴和营销费用控制，而非单纯扩大销量。</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100.84亿元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同比增长27.60%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归母净利润9.86亿元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同比增长45.60%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58.57亿元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同比增长30.89%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归母净利润6.63亿元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同比增长61.76%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186.95亿元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同比增长56.51%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归母净利润13.63亿元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同比下降31.03%</w:t>
            </w:r>
          </w:p>
        </w:tc>
      </w:tr>
    </w:tbl>
    <w:p>
      <w:pPr>
        <w:spacing w:after="200"/>
      </w:pPr>
      <w:r>
        <w:rPr>
          <w:i/>
          <w:iCs/>
          <w:color w:val="595959"/>
          <w:sz w:val="18"/>
          <w:szCs w:val="18"/>
        </w:rPr>
        <w:t xml:space="preserve">2026年上半年扣非归母净利润为8.03亿元，同比增长60.74%；经营活动产生的现金流量净额为3.98亿元，上年同期为净流出8.23亿元；基本每股收益为3.83元。2026年第二季度扣非归母净利润为5.45亿元，同比增长111.02%。2025年度扣非归母净利润为10.92亿元，同比下降32.60%，基本每股收益为5.29元。</w:t>
      </w:r>
    </w:p>
    <w:p>
      <w:pPr>
        <w:spacing w:after="160" w:line="300"/>
      </w:pPr>
      <w:r>
        <w:rPr>
          <w:sz w:val="22"/>
          <w:szCs w:val="22"/>
        </w:rPr>
        <w:t xml:space="preserve">2026年上半年收入、归母净利润及现金流均较2025年明显改善，二季度收入和利润增速较一季度进一步加快。海外收入约60.7亿元，同比增长53.8%，国内收入约40.1亿元，同比增长1.5%，海外业务是收入增长的主要来源。需要注意的是，上半年确认部分IEEPA关税退税收益，其中约1.92亿元计入当期损益，累计收到退税款约2.75亿元，最终会计处理及对2026年度净利润的影响仍以年度审计确认结果为准，因此利润增速不能全部外推为常态化经营增长。建议重点关注扣非净利润及下半年盈利质量。</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以上为同花顺F10截至2026年9月11日汇总的近6个月、24家机构预测，属于机构研报预测而非公司公告数据。机构预测逻辑主要包括海外市场扩张、销售费用率下降、洗地机业务盈利改善、割草机放量及国内竞争压力边际缓解。代表性机构2026—2028年归母净利润预测分别为：中泰证券20.32亿、23.64亿、32.26亿元；华泰证券21.86亿、27.18亿、32.83亿元；开源证券20.69亿、25.01亿、31.29亿元；光大证券20.93亿、25.44亿、30.66亿元；国联民生19.80亿、24.01亿、28.15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机构一致预期232.36亿元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机构一致预期归母净利润19.85亿元；预测区间17.40亿至21.86亿元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较2025年实际值增长约45.61%</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一致预期7.60元；预测区间6.61元至8.42元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机构一致预期281.70亿元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机构一致预期归母净利润25.05亿元；预测区间23.20亿至27.18亿元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研究纪要未披露统一同比增速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一致预期9.58元；预测区间8.76元至10.47元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机构一致预期334.56亿元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机构一致预期归母净利润30.42亿元；预测区间26.36亿至32.83亿元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研究纪要未披露统一同比增速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一致预期11.64元；预测区间10.15元至12.65元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近90天机构汇总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买入13家，增持4家</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截至2026年9月上旬</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共有17家机构给出评级；目标价均值约174.85元。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2026年8月30日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维持评级；2026—2028年EPS预计为7.71元、9.75元、11.59元，给予2026年20倍PE，目标价154.20元。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2026年8月25日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2026年EPS预测7.93元，目标价157.42元。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国投证券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买入-A</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2026年8月25日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2026年EPS预测7.15元，目标价143.04元。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开源证券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2026年9月9日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2026—2028年归母净利润预计为20.7亿、25.0亿、31.3亿元，EPS预计为7.97元、9.64元、12.06元；报告未披露新的明确目标价，测算PE约为16.6倍、13.7倍、11.0倍。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目标价统计</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目标价最高210.50元，最低142.12元，平均166.89元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近6个月统计，主要对应2026年</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目标价为研报发布时基于当时股价、盈利预测及估值假设得出的判断，不等同于当前统一目标价。</w:t>
            </w:r>
          </w:p>
        </w:tc>
      </w:tr>
    </w:tbl>
    <w:p>
      <w:pPr>
        <w:spacing w:before="200"/>
      </w:pPr>
    </w:p>
    <w:p>
      <w:pPr>
        <w:spacing w:after="160" w:line="300"/>
      </w:pPr>
      <w:r>
        <w:rPr>
          <w:sz w:val="22"/>
          <w:szCs w:val="22"/>
        </w:rPr>
        <w:t xml:space="preserve">截至2026年9月11日收盘，股价119.62元，总股本约2.60亿股，总市值约309.9亿元；市盈率TTM约18.57倍，扣非市盈率约22.25倍，市净率约2.14倍。截至2026年6月30日的每股收益口径约为6.44元。根据已披露财报推算，近四季度滚动归母净利润约16.72亿元，推算TTM PE约18.5倍，与行情页面披露的18.57倍基本一致。按机构一致预期EPS计算，2026年动态PE约15.7倍，2027年约12.5倍，2028年约10.3倍。当前估值已反映相当一部分2026年利润修复预期，但若机构预测兑现，2027—2028年估值将随盈利增长继续下降。估值风险主要包括关税退税收益的阶段性、海外竞争及营销投入、人民币汇率波动、国内扫地机行业竞争，以及洗地机和割草机盈利改善不及预期；2028年机构预测分歧扩大，远期估值可靠性低于2026年预测。</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2026年限制性股票激励计划完成授予</w:t>
      </w:r>
    </w:p>
    <w:p>
      <w:pPr>
        <w:spacing w:after="160" w:line="300"/>
      </w:pPr>
      <w:r>
        <w:rPr>
          <w:sz w:val="22"/>
          <w:szCs w:val="22"/>
        </w:rPr>
        <w:t xml:space="preserve">2026年9月1日，公司召开第三届董事会第二十一次会议，审议通过向2026年限制性股票激励计划对象授予限制性股票。授予日为2026年9月1日，向87名管理骨干、技术骨干和业务骨干授予89.2600万股，授予价格为56.32元/股，股票来源为公司向激励对象定向发行A股普通股，占授予时公司总股本约0.3439%。激励计划有效期最长不超过60个月，授予股票自授予日起12个月后，在满足归属条件的情况下分四期归属，每期原则上归属25%。激励对象不包括公司董事、高级管理人员、持股5%以上股东、实际控制人及其近亲属等。</w:t>
      </w:r>
    </w:p>
    <w:p>
      <w:pPr>
        <w:pStyle w:val="Heading2"/>
        <w:spacing w:after="120" w:before="240"/>
      </w:pPr>
      <w:r>
        <w:rPr>
          <w:b/>
          <w:bCs/>
          <w:color w:val="2E74B5"/>
          <w:sz w:val="24"/>
          <w:szCs w:val="24"/>
        </w:rPr>
        <w:t xml:space="preserve">4.2 限制性股票激励费用预计分期摊销</w:t>
      </w:r>
    </w:p>
    <w:p>
      <w:pPr>
        <w:spacing w:after="160" w:line="300"/>
      </w:pPr>
      <w:r>
        <w:rPr>
          <w:sz w:val="22"/>
          <w:szCs w:val="22"/>
        </w:rPr>
        <w:t xml:space="preserve">公开转载信息显示，公司采用Black-Scholes模型对本次限制性股票进行公允价值测算，预计确认股权激励费用并在2026年至2030年分期摊销。公开转载披露的测算金额约为7,134.83万元，该金额属于测算值，最终实际摊销金额应以后续公司正式财务报告为准。</w:t>
      </w:r>
    </w:p>
    <w:p>
      <w:pPr>
        <w:pStyle w:val="Heading2"/>
        <w:spacing w:after="120" w:before="240"/>
      </w:pPr>
      <w:r>
        <w:rPr>
          <w:b/>
          <w:bCs/>
          <w:color w:val="2E74B5"/>
          <w:sz w:val="24"/>
          <w:szCs w:val="24"/>
        </w:rPr>
        <w:t xml:space="preserve">4.3 限制性股票激励内幕信息知情人自查</w:t>
      </w:r>
    </w:p>
    <w:p>
      <w:pPr>
        <w:spacing w:after="160" w:line="300"/>
      </w:pPr>
      <w:r>
        <w:rPr>
          <w:sz w:val="22"/>
          <w:szCs w:val="22"/>
        </w:rPr>
        <w:t xml:space="preserve">公司于2026年9月2日披露2026年限制性股票激励计划内幕信息知情人买卖公司股票情况的自查报告。现有公告检索结果未显示因内幕信息知情人异常交易而被监管采取措施的事项，亦未发现相关监管处罚或问询文件。</w:t>
      </w:r>
    </w:p>
    <w:p>
      <w:pPr>
        <w:pStyle w:val="Heading2"/>
        <w:spacing w:after="120" w:before="240"/>
      </w:pPr>
      <w:r>
        <w:rPr>
          <w:b/>
          <w:bCs/>
          <w:color w:val="2E74B5"/>
          <w:sz w:val="24"/>
          <w:szCs w:val="24"/>
        </w:rPr>
        <w:t xml:space="preserve">4.4 2026年第一次临时股东会通过持股计划及股权激励议案</w:t>
      </w:r>
    </w:p>
    <w:p>
      <w:pPr>
        <w:spacing w:after="160" w:line="300"/>
      </w:pPr>
      <w:r>
        <w:rPr>
          <w:sz w:val="22"/>
          <w:szCs w:val="22"/>
        </w:rPr>
        <w:t xml:space="preserve">2026年9月1日，公司召开2026年第一次临时股东会，审议通过2026年事业合伙人持股计划及其摘要、持股计划管理办法、授权董事会办理持股计划相关事宜、2026年限制性股票激励计划及其摘要、实施考核管理办法、授权董事会办理限制性股票激励计划相关事宜以及续聘会计师事务所等议案，全部议案均获通过。对事业合伙人持股计划相关议案，出席股东中小股东同意比例约为79.48%；对2026年限制性股票激励计划草案，中小股东同意比例约为89.57%。</w:t>
      </w:r>
    </w:p>
    <w:p>
      <w:pPr>
        <w:pStyle w:val="Heading2"/>
        <w:spacing w:after="120" w:before="240"/>
      </w:pPr>
      <w:r>
        <w:rPr>
          <w:b/>
          <w:bCs/>
          <w:color w:val="2E74B5"/>
          <w:sz w:val="24"/>
          <w:szCs w:val="24"/>
        </w:rPr>
        <w:t xml:space="preserve">4.5 事业合伙人持股计划管理委员会成立</w:t>
      </w:r>
    </w:p>
    <w:p>
      <w:pPr>
        <w:spacing w:after="160" w:line="300"/>
      </w:pPr>
      <w:r>
        <w:rPr>
          <w:sz w:val="22"/>
          <w:szCs w:val="22"/>
        </w:rPr>
        <w:t xml:space="preserve">2026年9月1日，公司召开2026年事业合伙人持股计划第一次持有人会议，审议设立持股计划管理委员会，并选举全刚、王恺靖、贾惊涛为管理委员会委员，王恺靖为主任。</w:t>
      </w:r>
    </w:p>
    <w:p>
      <w:pPr>
        <w:pStyle w:val="Heading2"/>
        <w:spacing w:after="120" w:before="240"/>
      </w:pPr>
      <w:r>
        <w:rPr>
          <w:b/>
          <w:bCs/>
          <w:color w:val="2E74B5"/>
          <w:sz w:val="24"/>
          <w:szCs w:val="24"/>
        </w:rPr>
        <w:t xml:space="preserve">4.6 股份回购进展</w:t>
      </w:r>
    </w:p>
    <w:p>
      <w:pPr>
        <w:spacing w:after="160" w:line="300"/>
      </w:pPr>
      <w:r>
        <w:rPr>
          <w:sz w:val="22"/>
          <w:szCs w:val="22"/>
        </w:rPr>
        <w:t xml:space="preserve">公司回购股份用于员工持股计划或股权激励，预计回购金额为1,500万元至3,000万元，回购价格上限为154.95元/股，回购期限为2026年8月12日至2027年8月11日，资金来源为公司自有资金。截至2026年8月31日，公司已累计回购152,509股，占公司总股本约0.0588%，累计支付金额17,504,596.71元（不含印花税、交易佣金等费用），成交价格区间为106.40元/股至121.13元/股。回购进展公告于2026年9月2日披露。截至2026年9月13日，未检索到9月月末回购进展公告，无法进一步确认2026年9月1日至9月13日期间的回购数量。</w:t>
      </w:r>
    </w:p>
    <w:p>
      <w:pPr>
        <w:pStyle w:val="Heading2"/>
        <w:spacing w:after="120" w:before="240"/>
      </w:pPr>
      <w:r>
        <w:rPr>
          <w:b/>
          <w:bCs/>
          <w:color w:val="2E74B5"/>
          <w:sz w:val="24"/>
          <w:szCs w:val="24"/>
        </w:rPr>
        <w:t xml:space="preserve">4.7 2024年限制性股票激励计划第二个归属期股份上市</w:t>
      </w:r>
    </w:p>
    <w:p>
      <w:pPr>
        <w:spacing w:after="160" w:line="300"/>
      </w:pPr>
      <w:r>
        <w:rPr>
          <w:sz w:val="22"/>
          <w:szCs w:val="22"/>
        </w:rPr>
        <w:t xml:space="preserve">公司2024年限制性股票激励计划第二个归属期符合归属条件，拟归属股份数量为16,658股。本次归属股票于2026年9月10日上市流通，上市流通数量为16,658股，占公司总股本约0.01%；归属对象不包括公司董事及高级管理人员。</w:t>
      </w:r>
    </w:p>
    <w:p>
      <w:pPr>
        <w:pStyle w:val="Heading2"/>
        <w:spacing w:after="120" w:before="240"/>
      </w:pPr>
      <w:r>
        <w:rPr>
          <w:b/>
          <w:bCs/>
          <w:color w:val="2E74B5"/>
          <w:sz w:val="24"/>
          <w:szCs w:val="24"/>
        </w:rPr>
        <w:t xml:space="preserve">4.8 半年报披露股东持仓变化，暂未发现主要股东新增减持公告</w:t>
      </w:r>
    </w:p>
    <w:p>
      <w:pPr>
        <w:spacing w:after="160" w:line="300"/>
      </w:pPr>
      <w:r>
        <w:rPr>
          <w:sz w:val="22"/>
          <w:szCs w:val="22"/>
        </w:rPr>
        <w:t xml:space="preserve">截至2026年6月30日的半年报相关信息显示，公司十大流通股东较上一报告期出现变化，公开媒体报道称其中有2位新进、2位退出、5位发生减持。该信息反映的是报告期末持仓变化，不等同于近期集中竞价减持计划，也不能据此判断相关机构在2026年9月仍持续卖出。截至2026年9月13日，未检索到昌敬、丁迪、天津金米投资合伙企业等主要股东在2026年9月新披露的减持计划、减持实施结果或权益变动报告。</w:t>
      </w:r>
    </w:p>
    <w:p>
      <w:pPr>
        <w:pStyle w:val="Heading2"/>
        <w:spacing w:after="120" w:before="240"/>
      </w:pPr>
      <w:r>
        <w:rPr>
          <w:b/>
          <w:bCs/>
          <w:color w:val="2E74B5"/>
          <w:sz w:val="24"/>
          <w:szCs w:val="24"/>
        </w:rPr>
        <w:t xml:space="preserve">4.9 2026年半年度报告披露经营数据，暂无新的业绩预告</w:t>
      </w:r>
    </w:p>
    <w:p>
      <w:pPr>
        <w:spacing w:after="160" w:line="300"/>
      </w:pPr>
      <w:r>
        <w:rPr>
          <w:sz w:val="22"/>
          <w:szCs w:val="22"/>
        </w:rPr>
        <w:t xml:space="preserve">截至2026年9月13日，未检索到公司在2026年9月发布新的业绩预告、业绩快报修正或利润预警公告。公司于2026年8月25日披露2026年半年度报告，公开披露数据显示：2026年上半年营业收入约100.84亿元，同比增长27.60%；归属于上市公司股东的净利润约9.86亿元，同比增长45.60%；扣除非经常性损益后的净利润同比增长约60.74%。上述数据为已披露的半年度正式财务数据，不属于预测数据。</w:t>
      </w:r>
    </w:p>
    <w:p>
      <w:pPr>
        <w:pStyle w:val="Heading2"/>
        <w:spacing w:after="120" w:before="240"/>
      </w:pPr>
      <w:r>
        <w:rPr>
          <w:b/>
          <w:bCs/>
          <w:color w:val="2E74B5"/>
          <w:sz w:val="24"/>
          <w:szCs w:val="24"/>
        </w:rPr>
        <w:t xml:space="preserve">4.10 暂未发现重大并购、监管处罚或控制权变更事项</w:t>
      </w:r>
    </w:p>
    <w:p>
      <w:pPr>
        <w:spacing w:after="160" w:line="300"/>
      </w:pPr>
      <w:r>
        <w:rPr>
          <w:sz w:val="22"/>
          <w:szCs w:val="22"/>
        </w:rPr>
        <w:t xml:space="preserve">截至2026年9月13日，未检索到公司在2026年9月披露重大资产重组、对外并购、出售重大资产或控制权变更公告；未检索到公司收到中国证监会、上海证券交易所重大监管措施、纪律处分或重大问询的公告。近期公开公告的核心事项集中在员工持股计划、限制性股票激励和股份回购。</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证券简称/代码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石头科技（688169），上海证券交易所科创板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119.62元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下跌2.18元，跌幅1.79%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120.13元/122.40元/118.67元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约3.06%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约569.16万股，约5.69万手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约68,207.73万元，约6.82亿元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约2.60亿股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按收盘价与总股本估算约311亿元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动态市盈率/TTM</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约18.6~19.7倍；不同平台盈利口径、更新时间及复权口径存在差异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约2.14~2.27倍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不同数据源披露的52周高点约218.43~219.80元，低点约89.08~89.53元；数据存在复权口径和更新时间差异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阶段表现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2026年9月1日至9月11日由133.58元降至119.62元，区间跌幅约10.45%；近期属于8月下旬快速波动后的回落调整</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均线（截至2026年9月9日平台披露）</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MA5约125.47元、MA10约126.28元、MA20约128.49元、MA50约129.78元、MA100约123.88元、MA200约115.00元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股价低于MA5、MA10、MA20和MA50，但仍高于MA100和MA200，呈现短期均线偏弱、中长期均线仍有支撑的结构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均线（基于截至2026年9月11日前公开收盘数据估算）</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MA5约124.72元、MA10约127.81元、MA20约125.23元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119.62元收盘价低于MA5、MA10和MA20，短线均线压制增强；该组数据为自行估算值，非单一平台直接披露值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MACD（截至2026年9月8日）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DIF 5.77，DEA 6.00，MACD柱-0.44；英为财情截至9月9日MACD(12,26)为-1.27，评级为“卖出”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DIF低于DEA，MACD柱位于零轴下方，短线动能偏弱，尚未出现明确金叉修复信号；不同平台数值不完全一致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RSI（截至2026年9月8日/9月9日）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RSI6 47.6、RSI12 55.6、RSI24 56.8；英为财情RSI14为44.354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均处于30至70的中性或中性偏弱区间，尚未达到典型超卖状态；9月11日完整RSI数值数据缺失，不作伪精确估计</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布林带（截至2026年9月8日）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上轨141.53元，中轨122.89元，下轨104.24元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9月8日收盘价126.90元位于布林中轨与上轨之间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布林带（截至2026年9月11日估算）</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上轨约138.7元，中轨约125.2元，下轨约111.7元；20日标准差约6.74元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119.62元低于估算中轨但高于估算下轨，短线转弱但暂未触及近期波动区间下沿；数据受复权方式和计算样本影响</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主力资金（大波浪口径，截至2026年9月8日）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最近10个交易日合计净流出约2.37亿元，其中3天净流入、7天净流出；最近5个已披露交易日连续净流出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资金面偏弱，尚未形成持续净流入；同花顺截至9月7日显示近5日净流入约1,592.76万元，但统计口径不同，不宜直接横向拼接</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近期价格与成交变化</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2026年8月25日收盘135.00元，上涨20.00%，成交量约1,940万股；9月11日收盘119.62元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8月下旬快速波动后回落，近期成交额较8月25日和9月1日放量水平收缩</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股东户数</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截至2026年6月30日约3.29万户，较2026年3月31日增加约8,900户，增幅约37.15%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持股账户数量增加、平均每户持股可能下降，但属于季度或定期数据，不能直接等同于短线资金流入或流出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前十大流通股东集中度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基于2026年一季报、截至2026年3月31日数据，前十大流通股东合计持有流通股约41.46%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集中度数据存在滞后，期间机构调仓、股东减持及指数调仓均可能导致实际结构变化</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机构持仓</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基于截至2026年3月31日前十大流通股东数据，公募基金、ETF及基金专户等机构类股东合计持股约10.44%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股东结构并非只有控股股东和产业资本，仍有一定公募、ETF及陆股通持仓；但该比例不是2026年9月11日实时持仓比例</w:t>
            </w:r>
          </w:p>
        </w:tc>
      </w:tr>
    </w:tbl>
    <w:p>
      <w:pPr>
        <w:spacing w:before="200"/>
      </w:pPr>
    </w:p>
    <w:p>
      <w:pPr>
        <w:spacing w:after="160" w:line="300"/>
      </w:pPr>
      <w:r>
        <w:rPr>
          <w:sz w:val="22"/>
          <w:szCs w:val="22"/>
        </w:rPr>
        <w:t xml:space="preserve">截至2026年9月11日，石头科技收盘119.62元，较52周高点约低45%，较52周低点约高34%。股价已跌破短期MA5、MA10、MA20及估算布林中轨，MACD显示短线动能偏弱，但仍高于MA100、MA200及估算布林下轨，表明中长期位置尚未完全失守。近期主力资金在大波浪口径下连续偏净流出，成交额较8月25日和9月1日的放量水平收缩，短期更适合关注118.5~120.0元支撑区、124.5~128.0元压力区以及量价是否同步改善。</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风险提示：以下内容仅为基于截至2026年9月11日收盘数据的主观技术情景推演，不构成投资建议，也不构成买卖、持有或止损指令。</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124.5~128.0元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对应估算MA5约124.7元、MA20约125.2元、近期126元附近收盘密集区，以及9月8日、9月9日高点附近。若重新站上并同步放量，才可能进一步观察130元上方区域；量能不足则可能受均线和前期套牢盘压制</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118.5~120.0元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对应9月11日最低118.67元、收盘119.62元及近期价格重心下移。若有效跌破118.5元，短线可能进一步测试115元附近的中长期均线支撑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111.5~116.5元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对应估算布林下轨约111.7元、MA200约115.00元及8月21日、8月24日收盘价。若该区间被放量跌破，下一步可能重新考验8月中旬低点105.5~109.0元区域</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是基于当前技术指标和资金流向的主观启发式判断，不是统计概率）：价格区间约116.5~125.0元。触发条件包括118.5~120.0元附近缩量止跌、成交额维持约5亿~8亿元近期常态范围、暂时无法有效突破124.5~128.0元压力区，且大盘及家用电器板块不出现明显系统性冲击。</w:t>
      </w:r>
    </w:p>
    <w:p>
      <w:pPr>
        <w:pStyle w:val="ListParagraph"/>
        <w:numPr>
          <w:ilvl w:val="0"/>
          <w:numId w:val="2"/>
        </w:numPr>
        <w:spacing w:after="80" w:line="280"/>
      </w:pPr>
      <w:r>
        <w:rPr>
          <w:sz w:val="22"/>
          <w:szCs w:val="22"/>
        </w:rPr>
        <w:t xml:space="preserve">偏弱下行（权重中等；为基于当前技术指标和资金流向的主观启发式判断，不是统计概率）：价格区间约111.5~119.0元。触发条件包括收盘有效跌破118.5元、主力资金继续连续净流出、单日成交额重新放大至约9亿~12亿元以上且价格收跌，或家用电器板块、大盘同步走弱。放量破位时可能向MA200约115元及布林下轨附近靠拢。</w:t>
      </w:r>
    </w:p>
    <w:p>
      <w:pPr>
        <w:pStyle w:val="ListParagraph"/>
        <w:numPr>
          <w:ilvl w:val="0"/>
          <w:numId w:val="2"/>
        </w:numPr>
        <w:spacing w:after="80" w:line="280"/>
      </w:pPr>
      <w:r>
        <w:rPr>
          <w:sz w:val="22"/>
          <w:szCs w:val="22"/>
        </w:rPr>
        <w:t xml:space="preserve">反弹走强（权重偏低至中等；为基于当前技术指标和资金流向的主观启发式判断，不是统计概率）：价格区间约124.5~132.0元。触发条件包括重新站上124.5~125.5元、随后有效突破127.5~128.0元，单日成交额明显高于近期常态并至少达到约9亿~10亿元，主力资金由连续净流出转为连续两日以上净流入，且家用电器或清洁电器相关板块同步走强。放量突破128元后，才可观察130~132元附近的反弹空间；未收复127.5~128.0元前，仍偏向技术性修复。</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2.19%，成交额约6.82亿元；近几个交易日成交额约处于4.3亿~14.4亿元区间，其中9月8日约4.30亿元、9月7日约8.65亿元、9月4日约6.44亿元、9月3日约8.31亿元、9月2日约8.19亿元、9月1日约14.42亿元，8月25日约25.57亿元。公司并非低流动性小盘股，但近期股价回落过程中成交额较高位收缩。前十大流通股东合计持股约41.46%、机构类股东持股约10.44%的数据均截至2026年3月31日，股东户数约3.29万户的数据截至2026年6月30日；上述数据已滞后于9月11日，实际结构可能因机构调仓、股东减持及指数调仓而变化。就交易层面而言，近期成交额收缩意味着短线资金参与度较放量阶段下降；若下跌同时伴随成交额重新放大，需关注抛压集中；若在支撑区附近缩量企稳，则可观察卖压是否边际减弱。</w:t>
      </w:r>
    </w:p>
    <w:p>
      <w:pPr>
        <w:spacing w:after="160" w:line="300"/>
      </w:pPr>
      <w:r>
        <w:rPr>
          <w:sz w:val="22"/>
          <w:szCs w:val="22"/>
        </w:rPr>
        <w:t xml:space="preserve">若未来某一交易日成交额达到约9亿~10亿元以上，同时收盘价重新站上124.5~128.0元压力带，可作为短线资金重新介入的量价确认信号之一；若成交额放大但股价继续跌破118.5元，则更偏向放量出逃或抛压释放。</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观察思路，非操作指令：关注118.5~120.0元区域能否缩量企稳，以及有效跌破后是否向115元附近和111.5~116.5元强支撑区靠拢。</w:t>
      </w:r>
    </w:p>
    <w:p>
      <w:pPr>
        <w:pStyle w:val="ListParagraph"/>
        <w:numPr>
          <w:ilvl w:val="0"/>
          <w:numId w:val="2"/>
        </w:numPr>
        <w:spacing w:after="80" w:line="280"/>
      </w:pPr>
      <w:r>
        <w:rPr>
          <w:sz w:val="22"/>
          <w:szCs w:val="22"/>
        </w:rPr>
        <w:t xml:space="preserve">观察思路，非操作指令：关注124.5~128.0元压力区能否放量收复，尤其是127.5~128.0元是否形成有效突破。</w:t>
      </w:r>
    </w:p>
    <w:p>
      <w:pPr>
        <w:pStyle w:val="ListParagraph"/>
        <w:numPr>
          <w:ilvl w:val="0"/>
          <w:numId w:val="2"/>
        </w:numPr>
        <w:spacing w:after="80" w:line="280"/>
      </w:pPr>
      <w:r>
        <w:rPr>
          <w:sz w:val="22"/>
          <w:szCs w:val="22"/>
        </w:rPr>
        <w:t xml:space="preserve">观察思路，非操作指令：关注主力资金是否结束大波浪口径下的连续净流出状态，并结合其他平台口径谨慎解读。</w:t>
      </w:r>
    </w:p>
    <w:p>
      <w:pPr>
        <w:pStyle w:val="ListParagraph"/>
        <w:numPr>
          <w:ilvl w:val="0"/>
          <w:numId w:val="2"/>
        </w:numPr>
        <w:spacing w:after="80" w:line="280"/>
      </w:pPr>
      <w:r>
        <w:rPr>
          <w:sz w:val="22"/>
          <w:szCs w:val="22"/>
        </w:rPr>
        <w:t xml:space="preserve">观察思路，非操作指令：关注单日成交额能否达到并维持约9亿~10亿元以上，同时结合价格方向判断是资金介入还是抛压释放。</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智能清洁电器行业仍处于渗透率提升和品类扩张阶段，竞争已从单一功能竞争转向AI导航、机械臂、活水洗地、自动上下水、基站自维护、售后网络和全球渠道能力的综合竞争。2025年全球家用清洁机器人市场出货量达到3,272万台，同比增长20.1%；全球智能扫地机器人前五大厂商合计市场份额70.4%。2025年中国清洁电器市场零售额约471亿元，同比增长11.3%；零售量约3,550万台，同比增长17.0%。</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石头科技与科沃斯在中国扫地机器人市场长期处于第一梯队，在品牌、技术、渠道和售后方面具有领先优势。</w:t>
      </w:r>
    </w:p>
    <w:p>
      <w:pPr>
        <w:pStyle w:val="ListParagraph"/>
        <w:numPr>
          <w:ilvl w:val="0"/>
          <w:numId w:val="2"/>
        </w:numPr>
        <w:spacing w:after="80" w:line="280"/>
      </w:pPr>
      <w:r>
        <w:rPr>
          <w:sz w:val="22"/>
          <w:szCs w:val="22"/>
        </w:rPr>
        <w:t xml:space="preserve">追觅、云鲸和小米依靠高速电机、洗地技术、AI算法、生态渠道或产品差异化，在部分价格带和线上渠道形成竞争压力。</w:t>
      </w:r>
    </w:p>
    <w:p>
      <w:pPr>
        <w:pStyle w:val="ListParagraph"/>
        <w:numPr>
          <w:ilvl w:val="0"/>
          <w:numId w:val="2"/>
        </w:numPr>
        <w:spacing w:after="80" w:line="280"/>
      </w:pPr>
      <w:r>
        <w:rPr>
          <w:sz w:val="22"/>
          <w:szCs w:val="22"/>
        </w:rPr>
        <w:t xml:space="preserve">中国品牌已在全球扫地机器人市场形成集群优势，全球竞争包括石头、科沃斯、追觅、小米、云鲸与iRobot等品牌之间的渠道、品牌和产品竞争。</w:t>
      </w:r>
    </w:p>
    <w:p>
      <w:pPr>
        <w:pStyle w:val="ListParagraph"/>
        <w:numPr>
          <w:ilvl w:val="0"/>
          <w:numId w:val="2"/>
        </w:numPr>
        <w:spacing w:after="80" w:line="280"/>
      </w:pPr>
      <w:r>
        <w:rPr>
          <w:sz w:val="22"/>
          <w:szCs w:val="22"/>
        </w:rPr>
        <w:t xml:space="preserve">2025年石头科技收入大幅增长但利润下降，体现新品快速迭代、全价格段布局和海外渠道建设带来的研发、营销、售后及库存投入压力。</w:t>
      </w:r>
    </w:p>
    <w:p>
      <w:pPr>
        <w:pStyle w:val="ListParagraph"/>
        <w:numPr>
          <w:ilvl w:val="0"/>
          <w:numId w:val="2"/>
        </w:numPr>
        <w:spacing w:after="80" w:line="280"/>
      </w:pPr>
      <w:r>
        <w:rPr>
          <w:sz w:val="22"/>
          <w:szCs w:val="22"/>
        </w:rPr>
        <w:t xml:space="preserve">根据IDC及中商产业研究院披露的2024年中国智能扫地机器人市场数据，按出货量计算，科沃斯约25.4%、石头科技约21.6%、云鲸约16.3%、小米约13.7%、追觅约12.2%，前五家合计约89.2%。不同机构可能采用出货量、销量、销售额、线上零售额或全球市场等不同口径，上述份额不宜与其他年份或其他机构数据直接横向混用。</w:t>
      </w:r>
    </w:p>
    <w:p>
      <w:pPr>
        <w:pStyle w:val="ListParagraph"/>
        <w:numPr>
          <w:ilvl w:val="0"/>
          <w:numId w:val="2"/>
        </w:numPr>
        <w:spacing w:after="80" w:line="280"/>
      </w:pPr>
      <w:r>
        <w:rPr>
          <w:sz w:val="22"/>
          <w:szCs w:val="22"/>
        </w:rPr>
        <w:t xml:space="preserve">追觅和云鲸为非上市公司，收入、利润、产能和客户集中度缺乏完整审计披露，其市场份额及竞争数据只能作为参考，不能与石头科技、科沃斯年报数据进行严格同口径比较。</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科沃斯机器人（603486）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A股最直接可比公司，扫地机器人核心竞争对手；同时通过添可品牌布局洗地机和智能生活电器。</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产品矩阵较宽，自有制造和供应链整合能力较强。2025年科沃斯品牌服务机器人销售收入105.35亿元，占公司收入55.34%；添可品牌智能生活电器销售收入81.17亿元，占42.63%。</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追觅科技</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技术进攻型、海外扩张较快的民营清洁电器品牌，未上市。</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在高速数字电机、激光雷达、AI视觉、机械臂、洗地机和高端产品创新方面具有竞争力；具体财务、专利和市场份额数据因缺乏上市公司年报需谨慎使用。</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云鲸智能</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专注家用清洁机器人，重点突出拖地、活水清洁、基站自清洁和用户体验。</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产品线相对集中，在拖地、活水循环等细分功能上形成差异化；为非上市公司，不同机构市场份额口径存在差异。</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小米/米家</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依托小米生态链、米家App、智能家居入口和价格优势参与竞争。</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品牌、生态流量和渠道覆盖较强，中端及性价比价格带竞争力突出；石头科技早期曾参与小米生态链和米家产品合作，目前已形成独立品牌和全球化发展路径。</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iRobot</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海外传统扫地机器人品牌，具有较早的全球品牌认知和专利积累。</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拥有欧美市场品牌和渠道基础，但在激光导航、AI避障、基站自清洁、活水洗地及产品迭代速度方面面临中国品牌竞争压力。</w:t>
            </w:r>
          </w:p>
        </w:tc>
      </w:tr>
    </w:tbl>
    <w:p>
      <w:pPr>
        <w:spacing w:before="200"/>
      </w:pPr>
    </w:p>
    <w:p>
      <w:pPr>
        <w:spacing w:after="160" w:line="300"/>
      </w:pPr>
      <w:r>
        <w:rPr>
          <w:sz w:val="22"/>
          <w:szCs w:val="22"/>
        </w:rPr>
        <w:t xml:space="preserve">石头科技相较科沃斯更集中于扫地机器人技术、全球品牌和研发迭代效率；相较追觅，石头科技在全球品牌稳定性、规模化量产、产品体系和上市公司资本实力方面更成熟；相较云鲸，石头科技产品、品牌和渠道规模更大；相较小米，石头科技更侧重清洁机器人单一品类的深度研发，而小米更依赖生态和渠道；相较iRobot，石头科技在产品迭代、智能算法、价格性能比和中国供应链整合方面更具优势。</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海外业务依赖度较高：2025年境外主营业务收入占比约55.9%，2026年上半年海外收入约60.7亿元、同比增长53.8%。海外业务同时承担关税、运费、售后、本地渠道建设和营销投入，若相关成本上升，海外收入增长未必能够同步转化为利润增长。</w:t>
      </w:r>
    </w:p>
    <w:p>
      <w:pPr>
        <w:pStyle w:val="ListParagraph"/>
        <w:numPr>
          <w:ilvl w:val="0"/>
          <w:numId w:val="2"/>
        </w:numPr>
        <w:spacing w:after="80" w:line="280"/>
      </w:pPr>
      <w:r>
        <w:rPr>
          <w:sz w:val="22"/>
          <w:szCs w:val="22"/>
        </w:rPr>
        <w:t xml:space="preserve">关税退税收益存在阶段性和会计确认不确定性：2026年上半年利润包含约1.92亿元IEEPA关税退税收益，累计收到退税款约2.75亿元，最终会计处理及对全年净利润的影响仍以年度审计确认为准，当前利润增速不宜全部视为常态化经营增长。</w:t>
      </w:r>
    </w:p>
    <w:p>
      <w:pPr>
        <w:pStyle w:val="ListParagraph"/>
        <w:numPr>
          <w:ilvl w:val="0"/>
          <w:numId w:val="2"/>
        </w:numPr>
        <w:spacing w:after="80" w:line="280"/>
      </w:pPr>
      <w:r>
        <w:rPr>
          <w:sz w:val="22"/>
          <w:szCs w:val="22"/>
        </w:rPr>
        <w:t xml:space="preserve">盈利能力下滑风险较为具体：2025年主营业务毛利率降至42.38%，营业成本同比增长80.96%，销售费用同比增长64.95%，归母净利润同比下降31.03%。若全价格带布局、低价产品、ODM模式增加及海外渠道投入持续，毛利率和净利率可能继续承压。</w:t>
      </w:r>
    </w:p>
    <w:p>
      <w:pPr>
        <w:pStyle w:val="ListParagraph"/>
        <w:numPr>
          <w:ilvl w:val="0"/>
          <w:numId w:val="2"/>
        </w:numPr>
        <w:spacing w:after="80" w:line="280"/>
      </w:pPr>
      <w:r>
        <w:rPr>
          <w:sz w:val="22"/>
          <w:szCs w:val="22"/>
        </w:rPr>
        <w:t xml:space="preserve">产品结构仍相对集中：2025年智能扫地机及配件收入151.73亿元，占主营业务收入约81.2%。洗烘一体机仍处于产品培育和阶段性调整阶段，洗地机、割草机及其他智能电器能否持续放量并改善盈利，存在不确定性；若新品类进展不及预期，公司对单一核心品类的依赖仍较高。</w:t>
      </w:r>
    </w:p>
    <w:p>
      <w:pPr>
        <w:pStyle w:val="ListParagraph"/>
        <w:numPr>
          <w:ilvl w:val="0"/>
          <w:numId w:val="2"/>
        </w:numPr>
        <w:spacing w:after="80" w:line="280"/>
      </w:pPr>
      <w:r>
        <w:rPr>
          <w:sz w:val="22"/>
          <w:szCs w:val="22"/>
        </w:rPr>
        <w:t xml:space="preserve">库存及营运资金占用上升：截至2025年末存货26.55亿元，同比增长78.19%，其中库存商品23.85亿元；产销数据还显示智能扫地机期末库存134.58万台、其他智能电器期末库存65.06万台。若新品迭代、海外备货或渠道销售不及预期，可能带来库存消化、促销降价及存货减值压力。</w:t>
      </w:r>
    </w:p>
    <w:p>
      <w:pPr>
        <w:pStyle w:val="ListParagraph"/>
        <w:numPr>
          <w:ilvl w:val="0"/>
          <w:numId w:val="2"/>
        </w:numPr>
        <w:spacing w:after="80" w:line="280"/>
      </w:pPr>
      <w:r>
        <w:rPr>
          <w:sz w:val="22"/>
          <w:szCs w:val="22"/>
        </w:rPr>
        <w:t xml:space="preserve">国内外竞争可能压缩产品溢价：公司在扫地机器人市场面临科沃斯、追觅、云鲸、小米及iRobot等竞争，行业竞争已延伸至AI导航、机械臂、基站自维护、洗地技术、售后网络和全球渠道。若竞争对手加大价格、研发或渠道投入，石头科技可能需要增加营销和研发支出，影响利润率。</w:t>
      </w:r>
    </w:p>
    <w:p>
      <w:pPr>
        <w:pStyle w:val="ListParagraph"/>
        <w:numPr>
          <w:ilvl w:val="0"/>
          <w:numId w:val="2"/>
        </w:numPr>
        <w:spacing w:after="80" w:line="280"/>
      </w:pPr>
      <w:r>
        <w:rPr>
          <w:sz w:val="22"/>
          <w:szCs w:val="22"/>
        </w:rPr>
        <w:t xml:space="preserve">供应链对关键器件仍存在被动性：公司主要采购传感器、激光雷达、摄像头、芯片、控制器、电机、电池等部件，尽管2025年前五大供应商采购占比为31.50%，但关键电子器件仍可能受到供货、价格和技术迭代影响；同时外购配件或整机成本同比大幅增加，可能削弱供应链效率和产品毛利。</w:t>
      </w:r>
    </w:p>
    <w:p>
      <w:pPr>
        <w:pStyle w:val="ListParagraph"/>
        <w:numPr>
          <w:ilvl w:val="0"/>
          <w:numId w:val="2"/>
        </w:numPr>
        <w:spacing w:after="80" w:line="280"/>
      </w:pPr>
      <w:r>
        <w:rPr>
          <w:sz w:val="22"/>
          <w:szCs w:val="22"/>
        </w:rPr>
        <w:t xml:space="preserve">股权激励与股份回购可能带来费用及股本影响：2026年限制性股票计划向87名对象授予89.26万股，预计股权激励费用约7134.83万元并在2026年至2030年分期摊销，最终金额以正式财务报告为准；此外，公司持续回购并推进员工持股和激励计划，需关注相关费用、归属条件及股本变化对每股收益的影响。</w:t>
      </w:r>
    </w:p>
    <w:p>
      <w:pPr>
        <w:pStyle w:val="ListParagraph"/>
        <w:numPr>
          <w:ilvl w:val="0"/>
          <w:numId w:val="2"/>
        </w:numPr>
        <w:spacing w:after="80" w:line="280"/>
      </w:pPr>
      <w:r>
        <w:rPr>
          <w:sz w:val="22"/>
          <w:szCs w:val="22"/>
        </w:rPr>
        <w:t xml:space="preserve">短期交易面仍偏弱：截至2026年9月11日股价119.62元，已低于多条短期均线，MACD柱位于零轴下方，且一项资金统计显示最近10个交易日净流出约2.37亿元、最近5个已披露交易日连续净流出。若跌破118.5元后伴随成交额放大，可能加大短期波动；技术指标存在滞后性，且不同平台统计口径存在差异。</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石头科技的核心成长基础仍在于全球化品牌、清洁机器人技术积累、研发投入和新品类扩张。2026年上半年海外收入快速增长，洗地机、割草机等产品的持续放量，以及销售费用率下降、产品结构优化和供应链效率改善，可能推动利润修复。公司近期完成限制性股票激励授予并推进事业合伙人持股计划，有助于强化管理、技术和业务骨干的长期激励，但相关股权激励费用将在2026年至2030年分期确认。</w:t>
      </w:r>
    </w:p>
    <w:p>
      <w:pPr>
        <w:spacing w:after="160" w:line="300"/>
      </w:pPr>
      <w:r>
        <w:rPr>
          <w:sz w:val="22"/>
          <w:szCs w:val="22"/>
        </w:rPr>
        <w:t xml:space="preserve">需要重点观察增长是否能够转化为可持续的利润和现金流。2025年收入大增但毛利率和净利率显著下滑，2026年上半年利润又受到关税退税收益影响，因此不能将当前利润增速全部外推。未来若海外渠道建设、关税、运费、售后和营销投入继续较高，或低价及ODM产品占比提升，收入扩张仍可能伴随利润率承压；反之，若扣非利润持续增长、库存增速趋于合理且新品类盈利改善，盈利修复的确定性将增强。</w:t>
      </w:r>
    </w:p>
    <w:p>
      <w:pPr>
        <w:spacing w:after="160" w:line="300"/>
      </w:pPr>
      <w:r>
        <w:rPr>
          <w:sz w:val="22"/>
          <w:szCs w:val="22"/>
        </w:rPr>
        <w:t xml:space="preserve">从技术与估值维度看，股价近期处于快速波动后的回落调整阶段，118.5至120.0元附近是短期观察区域，124.5至128.0元附近存在均线和前期交易密集区压力，相关价位仅反映既有技术数据，不能替代基本面判断。机构预测显示2026年至2028年盈利和收入仍有增长预期，但预测存在区间差异，且远期预测可靠性低于近期数据，后续应结合实际业绩、现金流、库存、海外业务利润率及退税会计处理持续评估。</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股份有限公司2024年年度报告 — https://static.cninfo.com.cn/finalpage/2025-04-04/1223005334.PDF</w:t>
      </w:r>
    </w:p>
    <w:p>
      <w:pPr>
        <w:spacing w:after="200"/>
      </w:pPr>
      <w:r>
        <w:rPr>
          <w:i/>
          <w:iCs/>
          <w:color w:val="595959"/>
          <w:sz w:val="18"/>
          <w:szCs w:val="18"/>
        </w:rPr>
        <w:t xml:space="preserve">石头科技(688169)_公司公告_石头科技：2025年年度报告新浪财经_新浪网 — https://money.finance.sina.com.cn/corp/view/vCB_AllBulletinDetail.php?id=12142877&amp;stockid=688169</w:t>
      </w:r>
    </w:p>
    <w:p>
      <w:pPr>
        <w:spacing w:after="200"/>
      </w:pPr>
      <w:r>
        <w:rPr>
          <w:i/>
          <w:iCs/>
          <w:color w:val="595959"/>
          <w:sz w:val="18"/>
          <w:szCs w:val="18"/>
        </w:rPr>
        <w:t xml:space="preserve">石头科技(688169 CH) — https://crm.htsc.com.cn/doc/2021/10710209/68e471e5-7d31-4af8-8deb-36f422a977e1.pdf?utm_source=openai</w:t>
      </w:r>
    </w:p>
    <w:p>
      <w:pPr>
        <w:spacing w:after="200"/>
      </w:pPr>
      <w:r>
        <w:rPr>
          <w:i/>
          <w:iCs/>
          <w:color w:val="595959"/>
          <w:sz w:val="18"/>
          <w:szCs w:val="18"/>
        </w:rPr>
        <w:t xml:space="preserve">公司公告_石头科技：2022年年度报告新浪财经_新浪网 — https://vip.stock.finance.sina.com.cn/corp/view/vCB_AllBulletinDetail.php?id=9101498&amp;utm_source=openai</w:t>
      </w:r>
    </w:p>
    <w:p>
      <w:pPr>
        <w:spacing w:after="200"/>
      </w:pPr>
      <w:r>
        <w:rPr>
          <w:i/>
          <w:iCs/>
          <w:color w:val="595959"/>
          <w:sz w:val="18"/>
          <w:szCs w:val="18"/>
        </w:rPr>
        <w:t xml:space="preserve">石头科技(688169)_公司公告_石头科技：2023年年度报告新浪财经_新浪网 — https://money.finance.sina.com.cn/corp/view/vCB_AllBulletinDetail.php?id=9911510&amp;stockid=688169&amp;utm_source=openai</w:t>
      </w:r>
    </w:p>
    <w:p>
      <w:pPr>
        <w:spacing w:after="200"/>
      </w:pPr>
      <w:r>
        <w:rPr>
          <w:i/>
          <w:iCs/>
          <w:color w:val="595959"/>
          <w:sz w:val="18"/>
          <w:szCs w:val="18"/>
        </w:rPr>
        <w:t xml:space="preserve">石头科技(688169)_公司公告_石头科技：2024年年度报告摘要新浪财经_新浪网 — https://vip.stock.finance.sina.com.cn/corp/view/vCB_AllBulletinDetail.php?id=10847757&amp;stockid=688169&amp;utm_source=openai</w:t>
      </w:r>
    </w:p>
    <w:p>
      <w:pPr>
        <w:spacing w:after="200"/>
      </w:pPr>
      <w:r>
        <w:rPr>
          <w:i/>
          <w:iCs/>
          <w:color w:val="595959"/>
          <w:sz w:val="18"/>
          <w:szCs w:val="18"/>
        </w:rPr>
        <w:t xml:space="preserve">https://disc.static.szse.cn/download/disc/disk03/finalpage/2025-09-09/9eacd26e-a7d7-4186-827c-1197ddc2085d.PDF — https://disc.static.szse.cn/download/disc/disk03/finalpage/2025-09-09/9eacd26e-a7d7-4186-827c-1197ddc2085d.PDF</w:t>
      </w:r>
    </w:p>
    <w:p>
      <w:pPr>
        <w:spacing w:after="200"/>
      </w:pPr>
      <w:r>
        <w:rPr>
          <w:i/>
          <w:iCs/>
          <w:color w:val="595959"/>
          <w:sz w:val="18"/>
          <w:szCs w:val="18"/>
        </w:rPr>
        <w:t xml:space="preserve">科沃斯(603486)_公司公告_科沃斯：2025年年度报告新浪财经_新浪网 — https://money.finance.sina.com.cn/corp/view/vCB_AllBulletinDetail.php?id=12191589&amp;stockid=603486&amp;utm_source=openai</w:t>
      </w:r>
    </w:p>
    <w:p>
      <w:pPr>
        <w:spacing w:after="200"/>
      </w:pPr>
      <w:r>
        <w:rPr>
          <w:i/>
          <w:iCs/>
          <w:color w:val="595959"/>
          <w:sz w:val="18"/>
          <w:szCs w:val="18"/>
        </w:rPr>
        <w:t xml:space="preserve">专访追觅扫地机研发专家：聚焦用户痛点，引领清洁科技变革 — https://static.cdsb.com/micropub/HxhArticles/202503/26/8711666d9e282ac3ad3582c65b05c5e4.html?utm_source=openai</w:t>
      </w:r>
    </w:p>
    <w:p>
      <w:pPr>
        <w:spacing w:after="200"/>
      </w:pPr>
      <w:r>
        <w:rPr>
          <w:i/>
          <w:iCs/>
          <w:color w:val="595959"/>
          <w:sz w:val="18"/>
          <w:szCs w:val="18"/>
        </w:rPr>
        <w:t xml:space="preserve">云鲸中国区负责人王俊刚离职，扫地机行业巨头竞争再添变数？ _ 东方财富网 — https://finance.eastmoney.com/a/202511273576828412.html?utm_source=openai</w:t>
      </w:r>
    </w:p>
    <w:p>
      <w:pPr>
        <w:spacing w:after="200"/>
      </w:pPr>
      <w:r>
        <w:rPr>
          <w:i/>
          <w:iCs/>
          <w:color w:val="595959"/>
          <w:sz w:val="18"/>
          <w:szCs w:val="18"/>
        </w:rPr>
        <w:t xml:space="preserve">年度和中期报告 | Xiaomi Corporation — https://xiaomi.gcs-web.com/zh-hans/financial-information/annual-interim-reports?utm_source=openai</w:t>
      </w:r>
    </w:p>
    <w:p>
      <w:pPr>
        <w:spacing w:after="200"/>
      </w:pPr>
      <w:r>
        <w:rPr>
          <w:i/>
          <w:iCs/>
          <w:color w:val="595959"/>
          <w:sz w:val="18"/>
          <w:szCs w:val="18"/>
        </w:rPr>
        <w:t xml:space="preserve">石头科技(688169)_公司公告_石头科技：2026年半年度报告新浪财经_新浪网 — https://vip.stock.finance.sina.com.cn/corp/view/vCB_AllBulletinDetail.php?id=12524142&amp;stockid=688169&amp;utm_source=openai</w:t>
      </w:r>
    </w:p>
    <w:p>
      <w:pPr>
        <w:spacing w:after="200"/>
      </w:pPr>
      <w:r>
        <w:rPr>
          <w:i/>
          <w:iCs/>
          <w:color w:val="595959"/>
          <w:sz w:val="18"/>
          <w:szCs w:val="18"/>
        </w:rPr>
        <w:t xml:space="preserve">石头科技(688169)_公司公告_石头科技：2026年半年度报告新浪财经_新浪网 — https://money.finance.sina.com.cn/corp/view/vCB_AllBulletinDetail.php?id=12524142&amp;stockid=688169&amp;utm_source=openai</w:t>
      </w:r>
    </w:p>
    <w:p>
      <w:pPr>
        <w:spacing w:after="200"/>
      </w:pPr>
      <w:r>
        <w:rPr>
          <w:i/>
          <w:iCs/>
          <w:color w:val="595959"/>
          <w:sz w:val="18"/>
          <w:szCs w:val="18"/>
        </w:rPr>
        <w:t xml:space="preserve">石头科技(688169)：收入、业绩快速增长 退税增厚利润__新浪财经_新浪网 — https://stock.finance.sina.com.cn/stock/go.php/vReport_Show/kind/lastest/rptid/841157062141/index.phtml?utm_source=openai</w:t>
      </w:r>
    </w:p>
    <w:p>
      <w:pPr>
        <w:spacing w:after="200"/>
      </w:pPr>
      <w:r>
        <w:rPr>
          <w:i/>
          <w:iCs/>
          <w:color w:val="595959"/>
          <w:sz w:val="18"/>
          <w:szCs w:val="18"/>
        </w:rPr>
        <w:t xml:space="preserve">石头科技(688169)_公司公告_石头科技：2025年年度报告新浪财经_新浪网 — https://money.finance.sina.com.cn/corp/view/vCB_AllBulletinDetail.php?id=12142877&amp;stockid=688169&amp;utm_source=openai</w:t>
      </w:r>
    </w:p>
    <w:p>
      <w:pPr>
        <w:spacing w:after="200"/>
      </w:pPr>
      <w:r>
        <w:rPr>
          <w:i/>
          <w:iCs/>
          <w:color w:val="595959"/>
          <w:sz w:val="18"/>
          <w:szCs w:val="18"/>
        </w:rPr>
        <w:t xml:space="preserve">石头科技(688169) 盈利预测_F10_同花顺金融服务网 — https://basic.10jqka.com.cn/688169/worth.html</w:t>
      </w:r>
    </w:p>
    <w:p>
      <w:pPr>
        <w:spacing w:after="200"/>
      </w:pPr>
      <w:r>
        <w:rPr>
          <w:i/>
          <w:iCs/>
          <w:color w:val="595959"/>
          <w:sz w:val="18"/>
          <w:szCs w:val="18"/>
        </w:rPr>
        <w:t xml:space="preserve">开源证券：给予石头科技买入评级_股票频道_证券之星 — https://stock.stockstar.com/RB2026090900006071.shtml?utm_source=openai</w:t>
      </w:r>
    </w:p>
    <w:p>
      <w:pPr>
        <w:spacing w:after="200"/>
      </w:pPr>
      <w:r>
        <w:rPr>
          <w:i/>
          <w:iCs/>
          <w:color w:val="595959"/>
          <w:sz w:val="18"/>
          <w:szCs w:val="18"/>
        </w:rPr>
        <w:t xml:space="preserve">机构评级|2家机构更新石头科技评级 — https://stock.10jqka.com.cn/20260827/c679351836.shtml?utm_source=openai</w:t>
      </w:r>
    </w:p>
    <w:p>
      <w:pPr>
        <w:spacing w:after="200"/>
      </w:pPr>
      <w:r>
        <w:rPr>
          <w:i/>
          <w:iCs/>
          <w:color w:val="595959"/>
          <w:sz w:val="18"/>
          <w:szCs w:val="18"/>
        </w:rPr>
        <w:t xml:space="preserve">石头科技(688169)2026年半年报点评：收入高增利润弹性释放 海外与新品类共驱成长__新浪财经_新浪网 — https://stock.finance.sina.com.cn/stock/go.php/vReport_Show/kind/lastest/rptid/841421132090/index.phtml</w:t>
      </w:r>
    </w:p>
    <w:p>
      <w:pPr>
        <w:spacing w:after="200"/>
      </w:pPr>
      <w:r>
        <w:rPr>
          <w:i/>
          <w:iCs/>
          <w:color w:val="595959"/>
          <w:sz w:val="18"/>
          <w:szCs w:val="18"/>
        </w:rPr>
        <w:t xml:space="preserve">石头科技(688169.SH) 股票行情_历史数据_主力资金 - 大波浪数据 — https://www.yyqyx.com/s/688169.SH</w:t>
      </w:r>
    </w:p>
    <w:p>
      <w:pPr>
        <w:spacing w:after="200"/>
      </w:pPr>
      <w:r>
        <w:rPr>
          <w:i/>
          <w:iCs/>
          <w:color w:val="595959"/>
          <w:sz w:val="18"/>
          <w:szCs w:val="18"/>
        </w:rPr>
        <w:t xml:space="preserve">开源证券：给予石头科技买入评级_股票频道_证券之星 — https://stock.stockstar.com/RB2026090900006071.shtml</w:t>
      </w:r>
    </w:p>
    <w:p>
      <w:pPr>
        <w:spacing w:after="200"/>
      </w:pPr>
      <w:r>
        <w:rPr>
          <w:i/>
          <w:iCs/>
          <w:color w:val="595959"/>
          <w:sz w:val="18"/>
          <w:szCs w:val="18"/>
        </w:rPr>
        <w:t xml:space="preserve">石头科技(688169)_股票行情，行情首页_中财网 — https://quote.cfi.cn/quote.aspx?stockid=93375&amp;utm_source=openai</w:t>
      </w:r>
    </w:p>
    <w:p>
      <w:pPr>
        <w:spacing w:after="200"/>
      </w:pPr>
      <w:r>
        <w:rPr>
          <w:i/>
          <w:iCs/>
          <w:color w:val="595959"/>
          <w:sz w:val="18"/>
          <w:szCs w:val="18"/>
        </w:rPr>
        <w:t xml:space="preserve">公司代码：688169 — https://big5.sse.com.cn/site/cht/www.sse.com.cn/disclosure/listedinfo/announcement/c/new/2025-08-16/688169_20250816_NZ2J.pdf?utm_source=openai</w:t>
      </w:r>
    </w:p>
    <w:p>
      <w:pPr>
        <w:spacing w:after="200"/>
      </w:pPr>
      <w:r>
        <w:rPr>
          <w:i/>
          <w:iCs/>
          <w:color w:val="595959"/>
          <w:sz w:val="18"/>
          <w:szCs w:val="18"/>
        </w:rPr>
        <w:t xml:space="preserve">石头科技(688169)_公司公告_石头科技：关于向2026年限制性股票激励计划激励对象授予限制性股票的公告新浪财经_新浪网 — https://vip.stock.finance.sina.com.cn/corp/view/vCB_AllBulletinDetail.php?id=12579398&amp;stockid=688169&amp;utm_source=openai</w:t>
      </w:r>
    </w:p>
    <w:p>
      <w:pPr>
        <w:spacing w:after="200"/>
      </w:pPr>
      <w:r>
        <w:rPr>
          <w:i/>
          <w:iCs/>
          <w:color w:val="595959"/>
          <w:sz w:val="18"/>
          <w:szCs w:val="18"/>
        </w:rPr>
        <w:t xml:space="preserve">石头科技关于向2026年限制性股票激励计划激励对象授予限制性股票的公告_新浪财经_新浪网 — https://finance.sina.com.cn/roll/2026-09-02/doc-iniqkefq3322884.shtml?utm_source=openai</w:t>
      </w:r>
    </w:p>
    <w:p>
      <w:pPr>
        <w:spacing w:after="200"/>
      </w:pPr>
      <w:r>
        <w:rPr>
          <w:i/>
          <w:iCs/>
          <w:color w:val="595959"/>
          <w:sz w:val="18"/>
          <w:szCs w:val="18"/>
        </w:rPr>
        <w:t xml:space="preserve">石头科技(688169)公告(全部) - 理杏仁 — https://www.lixinger.com/equity/company/detail/sh/688169/688169/announcement?utm_source=openai</w:t>
      </w:r>
    </w:p>
    <w:p>
      <w:pPr>
        <w:spacing w:after="200"/>
      </w:pPr>
      <w:r>
        <w:rPr>
          <w:i/>
          <w:iCs/>
          <w:color w:val="595959"/>
          <w:sz w:val="18"/>
          <w:szCs w:val="18"/>
        </w:rPr>
        <w:t xml:space="preserve">石头科技(688169)_公司公告_石头科技：2026年第一次临时股东会决议公告新浪财经_新浪网 — https://vip.stock.finance.sina.com.cn/corp/view/vCB_AllBulletinDetail.php?id=12579403&amp;stockid=688169&amp;utm_source=openai</w:t>
      </w:r>
    </w:p>
    <w:p>
      <w:pPr>
        <w:spacing w:after="200"/>
      </w:pPr>
      <w:r>
        <w:rPr>
          <w:i/>
          <w:iCs/>
          <w:color w:val="595959"/>
          <w:sz w:val="18"/>
          <w:szCs w:val="18"/>
        </w:rPr>
        <w:t xml:space="preserve">石头科技(688169)_公司公告_石头科技：2026年第一次临时股东会决议公告新浪财经_新浪网 — https://money.finance.sina.com.cn/corp/view/vCB_AllBulletinDetail.php?id=12579403&amp;stockid=688169&amp;utm_source=openai</w:t>
      </w:r>
    </w:p>
    <w:p>
      <w:pPr>
        <w:spacing w:after="200"/>
      </w:pPr>
      <w:r>
        <w:rPr>
          <w:i/>
          <w:iCs/>
          <w:color w:val="595959"/>
          <w:sz w:val="18"/>
          <w:szCs w:val="18"/>
        </w:rPr>
        <w:t xml:space="preserve">石头科技2026年事业合伙人持股计划第一次持有人会议决议公告_新浪财经_新浪网 — https://finance.sina.com.cn/roll/2026-09-02/doc-iniqkefn1463219.shtml?utm_source=openai</w:t>
      </w:r>
    </w:p>
    <w:p>
      <w:pPr>
        <w:spacing w:after="200"/>
      </w:pPr>
      <w:r>
        <w:rPr>
          <w:i/>
          <w:iCs/>
          <w:color w:val="595959"/>
          <w:sz w:val="18"/>
          <w:szCs w:val="18"/>
        </w:rPr>
        <w:t xml:space="preserve">石头科技(688169)_公司公告_石头科技：关于以集中竞价交易方式回购公司股份的进展公告新浪财经_新浪网 — https://money.finance.sina.com.cn/corp/view/vCB_AllBulletinDetail.php?id=12579395&amp;stockid=688169&amp;utm_source=openai</w:t>
      </w:r>
    </w:p>
    <w:p>
      <w:pPr>
        <w:spacing w:after="200"/>
      </w:pPr>
      <w:r>
        <w:rPr>
          <w:i/>
          <w:iCs/>
          <w:color w:val="595959"/>
          <w:sz w:val="18"/>
          <w:szCs w:val="18"/>
        </w:rPr>
        <w:t xml:space="preserve">石头科技(688169)_公司公告_石头科技：2024年限制性股票激励计划第二个归属期归属结果暨股份上市公告新浪财经_新浪网 — https://money.finance.sina.com.cn/corp/view/vCB_AllBulletinDetail.php?id=12584393&amp;stockid=688169&amp;utm_source=openai</w:t>
      </w:r>
    </w:p>
    <w:p>
      <w:pPr>
        <w:spacing w:after="200"/>
      </w:pPr>
      <w:r>
        <w:rPr>
          <w:i/>
          <w:iCs/>
          <w:color w:val="595959"/>
          <w:sz w:val="18"/>
          <w:szCs w:val="18"/>
        </w:rPr>
        <w:t xml:space="preserve">石头科技十大流通股东格局生变：世纪汇祥等新进，北向资金等减持_新浪财经_新浪网 — https://finance.sina.com.cn/stock/aiassist/sdltgdbh/2026-08-25/doc-inipnyqy2374998.shtml?utm_source=openai</w:t>
      </w:r>
    </w:p>
    <w:p>
      <w:pPr>
        <w:spacing w:after="200"/>
      </w:pPr>
      <w:r>
        <w:rPr>
          <w:i/>
          <w:iCs/>
          <w:color w:val="595959"/>
          <w:sz w:val="18"/>
          <w:szCs w:val="18"/>
        </w:rPr>
        <w:t xml:space="preserve">石头科技_ 个股日历 _ 东方财富网_ 数据频道 — https://data.eastmoney.com/stockcalendar/688169.html?utm_source=openai</w:t>
      </w:r>
    </w:p>
    <w:p>
      <w:pPr>
        <w:spacing w:after="200"/>
      </w:pPr>
      <w:r>
        <w:rPr>
          <w:i/>
          <w:iCs/>
          <w:color w:val="595959"/>
          <w:sz w:val="18"/>
          <w:szCs w:val="18"/>
        </w:rPr>
        <w:t xml:space="preserve">石头科技(688169)_股票行情，行情首页_中财网 — https://quote.cfi.cn/quote.aspx?stockcode=688169</w:t>
      </w:r>
    </w:p>
    <w:p>
      <w:pPr>
        <w:spacing w:after="200"/>
      </w:pPr>
      <w:r>
        <w:rPr>
          <w:i/>
          <w:iCs/>
          <w:color w:val="595959"/>
          <w:sz w:val="18"/>
          <w:szCs w:val="18"/>
        </w:rPr>
        <w:t xml:space="preserve">石头科技(688169)股票历史数据:历史行情,价格,走势图表_英为财情Investing.com — https://cn.investing.com/equities/beijing-roborock-tech-historical-data</w:t>
      </w:r>
    </w:p>
    <w:p>
      <w:pPr>
        <w:spacing w:after="200"/>
      </w:pPr>
      <w:r>
        <w:rPr>
          <w:i/>
          <w:iCs/>
          <w:color w:val="595959"/>
          <w:sz w:val="18"/>
          <w:szCs w:val="18"/>
        </w:rPr>
        <w:t xml:space="preserve">石头科技(688169)股票行情走势技术分析_未来预测_买卖操作建议_英为财情Investing.com — https://cn.investing.com/equities/beijing-roborock-tech-technical</w:t>
      </w:r>
    </w:p>
    <w:p>
      <w:pPr>
        <w:spacing w:after="200"/>
      </w:pPr>
      <w:r>
        <w:rPr>
          <w:i/>
          <w:iCs/>
          <w:color w:val="595959"/>
          <w:sz w:val="18"/>
          <w:szCs w:val="18"/>
        </w:rPr>
        <w:t xml:space="preserve">石头科技(688169)个股分析_牛叉诊股_同花顺财经 — https://doctor.10jqka.com.cn/688169/</w:t>
      </w:r>
    </w:p>
    <w:p>
      <w:pPr>
        <w:spacing w:after="200"/>
      </w:pPr>
      <w:r>
        <w:rPr>
          <w:i/>
          <w:iCs/>
          <w:color w:val="595959"/>
          <w:sz w:val="18"/>
          <w:szCs w:val="18"/>
        </w:rPr>
        <w:t xml:space="preserve">本报告由AI基于公开渠道信息自动检索、整理并生成，信息截至 截至2026年9月11日收盘；部分技术指标、资金流向及股东结构数据分别截至2026年9月8日、9月9日、9月30日?研究纪要中未出现9月30日数据，应以各字段注明日期为准，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2026-09-13T11:41:21.357Z</dcterms:created>
  <dcterms:modified xsi:type="dcterms:W3CDTF">2026-09-13T11:41:21.357Z</dcterms:modified>
</cp:coreProperties>
</file>

<file path=docProps/custom.xml><?xml version="1.0" encoding="utf-8"?>
<Properties xmlns="http://schemas.openxmlformats.org/officeDocument/2006/custom-properties" xmlns:vt="http://schemas.openxmlformats.org/officeDocument/2006/docPropsVTypes"/>
</file>