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晶科能源股份有限公司 (688223)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行业：光伏组件与储能</w:t>
      </w:r>
    </w:p>
    <w:p>
      <w:pPr>
        <w:jc w:val="center"/>
      </w:pPr>
      <w:r>
        <w:rPr>
          <w:color w:val="595959"/>
          <w:sz w:val="22"/>
          <w:szCs w:val="22"/>
        </w:rPr>
        <w:t xml:space="preserve">报告日期：2026年10月2日</w:t>
      </w:r>
    </w:p>
    <w:p>
      <w:pPr>
        <w:jc w:val="center"/>
      </w:pPr>
      <w:r>
        <w:rPr>
          <w:color w:val="595959"/>
          <w:sz w:val="20"/>
          <w:szCs w:val="20"/>
        </w:rPr>
        <w:t xml:space="preserve">行情截至2026-09-30收盘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核心结论：低估值尚未换来盈利拐点，修复预期仍待组件盈利验证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3.83元（+2.41%）</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约392.18亿元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3.64～9.66元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2.99亿元／0.77%</w:t>
            </w:r>
          </w:p>
        </w:tc>
      </w:tr>
    </w:tbl>
    <w:p>
      <w:pPr>
        <w:spacing w:before="200"/>
      </w:pPr>
    </w:p>
    <w:p>
      <w:pPr>
        <w:spacing w:after="200"/>
      </w:pPr>
      <w:r>
        <w:rPr>
          <w:i/>
          <w:iCs/>
          <w:color w:val="595959"/>
          <w:sz w:val="18"/>
          <w:szCs w:val="18"/>
        </w:rPr>
        <w:t xml:space="preserve">行情数据截至：2026-09-30收盘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收入仍降，亏损延续</w:t>
      </w:r>
      <w:r>
        <w:rPr>
          <w:sz w:val="22"/>
          <w:szCs w:val="22"/>
        </w:rPr>
        <w:t xml:space="preserve">：2026年上半年营收247.27亿元、同比下降22.32%，归母净亏损30.76亿元；毛利率3.41%，单季扣非净利润同比下降48.74%。</w:t>
      </w:r>
    </w:p>
    <w:p>
      <w:pPr>
        <w:pStyle w:val="ListParagraph"/>
        <w:numPr>
          <w:ilvl w:val="0"/>
          <w:numId w:val="2"/>
        </w:numPr>
        <w:spacing w:after="80" w:line="280"/>
      </w:pPr>
      <w:r>
        <w:rPr>
          <w:b/>
          <w:bCs/>
          <w:sz w:val="22"/>
          <w:szCs w:val="22"/>
        </w:rPr>
        <w:t xml:space="preserve">盈利修复取决于售价企稳</w:t>
      </w:r>
      <w:r>
        <w:rPr>
          <w:sz w:val="22"/>
          <w:szCs w:val="22"/>
        </w:rPr>
        <w:t xml:space="preserve">：组件仍是核心收入来源，供给过剩与价格竞争压制利润；规模、TOPCon产品和海外渠道尚未转化为稳定定价权。</w:t>
      </w:r>
    </w:p>
    <w:p>
      <w:pPr>
        <w:pStyle w:val="ListParagraph"/>
        <w:numPr>
          <w:ilvl w:val="0"/>
          <w:numId w:val="2"/>
        </w:numPr>
        <w:spacing w:after="80" w:line="280"/>
      </w:pPr>
      <w:r>
        <w:rPr>
          <w:b/>
          <w:bCs/>
          <w:sz w:val="22"/>
          <w:szCs w:val="22"/>
        </w:rPr>
        <w:t xml:space="preserve">估值处历史低位但PE失效</w:t>
      </w:r>
      <w:r>
        <w:rPr>
          <w:sz w:val="22"/>
          <w:szCs w:val="22"/>
        </w:rPr>
        <w:t xml:space="preserve">：9月30日收盘3.83元，PE-TTM亏损不适用；PB 1.69倍处近4.5年1%分位，PS 0.67倍处21%分位。</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：一致预期为2026年归母净亏损13.47亿元、2027年转盈至20.97亿元；2026年预测区间为亏损41.59亿至盈利6亿元，分歧较大。估值低位反映谨慎，但仍需验证盈利修复。</w:t>
      </w:r>
    </w:p>
    <w:p>
      <w:pPr>
        <w:pStyle w:val="ListParagraph"/>
        <w:numPr>
          <w:ilvl w:val="0"/>
          <w:numId w:val="2"/>
        </w:numPr>
        <w:spacing w:after="80" w:line="280"/>
      </w:pPr>
      <w:r>
        <w:rPr>
          <w:b/>
          <w:bCs/>
          <w:sz w:val="22"/>
          <w:szCs w:val="22"/>
        </w:rPr>
        <w:t xml:space="preserve">证据显示</w:t>
      </w:r>
      <w:r>
        <w:rPr>
          <w:sz w:val="22"/>
          <w:szCs w:val="22"/>
        </w:rPr>
        <w:t xml:space="preserve">：上半年仍亏损30.76亿元、营收同比下降22.32%，尚未验证年度盈利改善；毛利率转正、经营现金流转正是积极信号，但减值和单季扣非下滑显示修复基础仍弱。</w:t>
      </w:r>
    </w:p>
    <w:p>
      <w:pPr>
        <w:spacing w:after="160" w:line="300"/>
      </w:pPr>
      <w:r>
        <w:rPr>
          <w:b/>
          <w:bCs/>
          <w:color w:val="1F4E79"/>
          <w:sz w:val="22"/>
          <w:szCs w:val="22"/>
        </w:rPr>
        <w:t xml:space="preserve">证据倾向：偏空；置信度：高（13家机构覆盖、行情与财报数字经程序核对）</w:t>
      </w:r>
    </w:p>
    <w:p>
      <w:pPr>
        <w:spacing w:after="160" w:line="300"/>
      </w:pPr>
      <w:r>
        <w:rPr>
          <w:sz w:val="22"/>
          <w:szCs w:val="22"/>
        </w:rPr>
        <w:t xml:space="preserve">亏损、营收下滑和盈利预测分歧明确；估值虽低，但盈利转正尚未得到持续经营数据验证。</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主要向全球电站投资商、开发商及经销商销售光伏产品，以组件为主，依靠规模、一体化制造和产品结构参与竞争。</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光伏产品</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95.47%（2025年，占总营收）</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-0.82%（2025年主营产品口径）</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-30.56%（2025年）</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核心收入来源，盈利受组件价格与供需影响</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主营业务其他</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1.63%（2025年，占总营收）</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-0.13%（2025年主营业务口径）</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65.25%（2025年）</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主营业务分产品表口径，不含其他营业收入</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规模：2025年组件销量86.81GW，处于全球组件出货龙头梯队。</w:t>
      </w:r>
    </w:p>
    <w:p>
      <w:pPr>
        <w:pStyle w:val="ListParagraph"/>
        <w:numPr>
          <w:ilvl w:val="0"/>
          <w:numId w:val="2"/>
        </w:numPr>
        <w:spacing w:after="80" w:line="280"/>
      </w:pPr>
      <w:r>
        <w:rPr>
          <w:sz w:val="22"/>
          <w:szCs w:val="22"/>
        </w:rPr>
        <w:t xml:space="preserve">技术：公司披露N型TOPCon电池效率27.79%，Tiger Neo系列累计出货超250GW。</w:t>
      </w:r>
    </w:p>
    <w:p>
      <w:pPr>
        <w:pStyle w:val="ListParagraph"/>
        <w:numPr>
          <w:ilvl w:val="0"/>
          <w:numId w:val="2"/>
        </w:numPr>
        <w:spacing w:after="80" w:line="280"/>
      </w:pPr>
      <w:r>
        <w:rPr>
          <w:sz w:val="22"/>
          <w:szCs w:val="22"/>
        </w:rPr>
        <w:t xml:space="preserve">渠道与品牌：营销网络覆盖近200个国家和地区，设有35个全球服务中心。</w:t>
      </w:r>
    </w:p>
    <w:p>
      <w:pPr>
        <w:spacing w:after="160" w:line="300"/>
      </w:pPr>
      <w:r>
        <w:rPr>
          <w:sz w:val="22"/>
          <w:szCs w:val="22"/>
        </w:rPr>
        <w:t xml:space="preserve">主要威胁：供给过剩与组件价格竞争压制利润，原料成本和贸易壁垒亦可能侵蚀规模、技术及渠道优势。</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投入包括多晶硅、硅片及电池生产相关材料，以及组件封装和结构材料；2025年原材料占光伏行业营业成本68.06%。</w:t>
      </w:r>
    </w:p>
    <w:p>
      <w:pPr>
        <w:pStyle w:val="ListParagraph"/>
        <w:numPr>
          <w:ilvl w:val="0"/>
          <w:numId w:val="2"/>
        </w:numPr>
        <w:spacing w:after="80" w:line="280"/>
      </w:pPr>
      <w:r>
        <w:rPr>
          <w:sz w:val="22"/>
          <w:szCs w:val="22"/>
        </w:rPr>
        <w:t xml:space="preserve">2025年前五大供应商采购占比30.00%；多晶硅长单价格按月协商，整体对大宗原料定价权有限，成本优势主要靠规模、一体化与降耗。</w:t>
      </w:r>
    </w:p>
    <w:p>
      <w:pPr>
        <w:pStyle w:val="ListParagraph"/>
        <w:numPr>
          <w:ilvl w:val="0"/>
          <w:numId w:val="2"/>
        </w:numPr>
        <w:spacing w:after="80" w:line="280"/>
      </w:pPr>
      <w:r>
        <w:rPr>
          <w:sz w:val="22"/>
          <w:szCs w:val="22"/>
        </w:rPr>
        <w:t xml:space="preserve">客户包括光伏电站投资商、开发商、承包商及分布式系统经销商；组件竞标和价格竞争是主要议价压力，并非汽车零部件式年降。</w:t>
      </w:r>
    </w:p>
    <w:p>
      <w:pPr>
        <w:pStyle w:val="ListParagraph"/>
        <w:numPr>
          <w:ilvl w:val="0"/>
          <w:numId w:val="2"/>
        </w:numPr>
        <w:spacing w:after="80" w:line="280"/>
      </w:pPr>
      <w:r>
        <w:rPr>
          <w:sz w:val="22"/>
          <w:szCs w:val="22"/>
        </w:rPr>
        <w:t xml:space="preserve">2025年年报：前五大客户销售额82.11亿元、占销售总额12.54%，客户名称匿名披露；为单年披露口径。</w:t>
      </w:r>
    </w:p>
    <w:p>
      <w:pPr>
        <w:pStyle w:val="ListParagraph"/>
        <w:numPr>
          <w:ilvl w:val="0"/>
          <w:numId w:val="2"/>
        </w:numPr>
        <w:spacing w:after="80" w:line="280"/>
      </w:pPr>
      <w:r>
        <w:rPr>
          <w:sz w:val="22"/>
          <w:szCs w:val="22"/>
        </w:rPr>
        <w:t xml:space="preserve">2026年6月末应收账款120.07亿元，约为上半年营收的48.6%；预付款21.60亿元，应付账款219.40亿元、应付票据82.51亿元，显示应收占用同时有应付缓冲。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13.39%</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2.81%</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具体成本与售价归因不明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3.55%</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毛利率回落，净利率受期间费用等影响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13.19%</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6.26%</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处于高位，需求及出货规模上行是背景</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0.16%</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产业链价格下行、供需失衡与竞争加剧</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-0.60%</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-10.53%</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组件价格低位、贸易扰动及停工损失、减值</w:t>
            </w:r>
          </w:p>
        </w:tc>
      </w:tr>
    </w:tbl>
    <w:p>
      <w:pPr>
        <w:spacing w:before="200"/>
      </w:pPr>
    </w:p>
    <w:p>
      <w:pPr>
        <w:spacing w:after="160" w:line="300"/>
      </w:pPr>
      <w:r>
        <w:rPr>
          <w:sz w:val="22"/>
          <w:szCs w:val="22"/>
        </w:rPr>
        <w:t xml:space="preserve">公司处于光伏制造中游，以组件为主，规模、TOPCon迭代与海外渠道构成相对优势，但尚未转化为稳定定价权。利润修复取决于供需及组件售价企稳、产品结构升级、银浆等成本控制和产能升级兑现。趋势表为金融数据平台列示的合并口径；2025年主营光伏产品毛利率为-0.82%。</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光伏制造处于供给过剩、价格竞争压利润阶段；对晶科最关键的是组件售价能否企稳并覆盖成本。</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隆基绿能（601012）</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硅片与组件一体化龙头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2025营收703.47亿元；毛利率0.81%；归母净亏损约64.20亿元；PE(TTM) 亏损，不适用</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收入规模略高，另有较大硅片业务</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天合光能（688599）</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组件及储能、系统解决方案</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2025营收669.75亿元；毛利率5.18%；归母净亏损约70.31亿元；PE(TTM) 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另有储能及系统解决方案业务</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晶澳科技（002459）</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大型光伏组件制造商</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2025营收491.29亿元；毛利率约-2.10%；年度亏损；PE(TTM) 亏损，不适用</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营收规模较小，毛利率同处承压区间</w:t>
            </w:r>
          </w:p>
        </w:tc>
      </w:tr>
    </w:tbl>
    <w:p>
      <w:pPr>
        <w:spacing w:before="200"/>
      </w:pPr>
    </w:p>
    <w:p>
      <w:pPr>
        <w:spacing w:after="160" w:line="300"/>
      </w:pPr>
      <w:r>
        <w:rPr>
          <w:sz w:val="22"/>
          <w:szCs w:val="22"/>
        </w:rPr>
        <w:t xml:space="preserve">晶科具备全球组件出货规模、TOPCon产品和海外渠道优势，但2025年主营光伏产品毛利率转负，优势尚未体现为稳定盈利；同业亦普遍亏损，毛利率口径存在差异。</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247.27亿元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-22.32%</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-30.76亿元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-5.76%</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-5.85%</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3.41%</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654.92亿元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-29.18%</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-68.82亿元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-7056.11%</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-723.90%</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-0.60%</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924.71亿元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-22.08%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0.99亿元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-98.67%</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-113.50%</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7.34%</w:t>
            </w:r>
          </w:p>
        </w:tc>
      </w:tr>
    </w:tbl>
    <w:p>
      <w:pPr>
        <w:spacing w:before="200"/>
      </w:pPr>
    </w:p>
    <w:p>
      <w:pPr>
        <w:spacing w:after="200"/>
      </w:pPr>
      <w:r>
        <w:rPr>
          <w:i/>
          <w:iCs/>
          <w:color w:val="595959"/>
          <w:sz w:val="18"/>
          <w:szCs w:val="18"/>
        </w:rPr>
        <w:t xml:space="preserve">截至2026年中报；分期业绩采用财报披露口径。</w:t>
      </w:r>
    </w:p>
    <w:p>
      <w:pPr>
        <w:spacing w:after="160" w:line="300"/>
      </w:pPr>
      <w:r>
        <w:rPr>
          <w:sz w:val="22"/>
          <w:szCs w:val="22"/>
        </w:rPr>
        <w:t xml:space="preserve">持续亏损主要受行业供需失衡、产品价格低位影响。中报单季营收环比增长1.90%，但扣非净利润同比下降48.74%；财务费用因汇兑损失大增，另计提存货跌价准备7.08亿元。</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-11.87%（2026中报）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仍处亏损，资本回报为负。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76.17%（2026中报）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杠杆水平较高。</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速动比率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0.87（2026中报）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速动资产不足以覆盖流动负债。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应收账款周转天数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92.0天（2026中报）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高于2025年报的73.6天。</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存货周转天数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120.7天（2026中报）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高于2025年报的76.8天。</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利息保障倍数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-3.4倍（2026中报）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亏损状态下利息保障能力偏弱。</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1.69倍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近4.5年1%分位（中位数2.69倍）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中位数1.26倍（隆基绿能1.76、天合光能1.26、晶澳科技1.16）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0.67倍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近4.5年21%分位（中位数0.84倍）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中位数0.52倍（隆基绿能1.32、天合光能0.38、晶澳科技0.52）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近12个月无已实施现金分红</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估值倍数由程序按2026-09-30收盘数据计算（滚动十二个月口径）；同行倍数按2026-09-30收盘数据同口径计算</w:t>
      </w:r>
    </w:p>
    <w:p>
      <w:pPr>
        <w:spacing w:after="160" w:line="300"/>
      </w:pPr>
      <w:r>
        <w:rPr>
          <w:sz w:val="22"/>
          <w:szCs w:val="22"/>
        </w:rPr>
        <w:t xml:space="preserve">PE-TTM因亏损不适用；PB 1.69倍处近4.5年1%分位，PS 0.67倍处21%分位，均低于自身历史中位数。估值已处低位，但一致预期仍要求2027年扭亏，2026年预测区间宽，低估值能否转化为回报取决于盈利兑现。</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624.95亿元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-13.47亿元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+80.42%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731.10亿元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20.97亿元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扭亏</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845.62亿元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38.35亿元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+82.9%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0.37元</w:t>
            </w:r>
          </w:p>
        </w:tc>
      </w:tr>
    </w:tbl>
    <w:p>
      <w:pPr>
        <w:spacing w:before="200"/>
      </w:pPr>
    </w:p>
    <w:p>
      <w:pPr>
        <w:spacing w:after="200"/>
      </w:pPr>
      <w:r>
        <w:rPr>
          <w:i/>
          <w:iCs/>
          <w:color w:val="595959"/>
          <w:sz w:val="18"/>
          <w:szCs w:val="18"/>
        </w:rPr>
        <w:t xml:space="preserve">近六个月13家机构一致预期，截至2026-10-02；2026年归母净利润预测区间为-41.59亿至6.00亿元（10家）。</w:t>
      </w:r>
    </w:p>
    <w:p>
      <w:pPr>
        <w:pStyle w:val="Heading2"/>
        <w:spacing w:after="120" w:before="240"/>
      </w:pPr>
      <w:r>
        <w:rPr>
          <w:b/>
          <w:bCs/>
          <w:color w:val="2E74B5"/>
          <w:sz w:val="24"/>
          <w:szCs w:val="24"/>
        </w:rPr>
        <w:t xml:space="preserve">4.3 机构观点</w:t>
      </w:r>
    </w:p>
    <w:p>
      <w:pPr>
        <w:spacing w:after="160" w:line="300"/>
      </w:pPr>
      <w:r>
        <w:rPr>
          <w:sz w:val="22"/>
          <w:szCs w:val="22"/>
        </w:rPr>
        <w:t xml:space="preserve">3家机构，均值7.44元，区间7–7.71元；最新为中金公司2026-08-27给出7元。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目标价7元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2026-05-22</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目标价7.71元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目标价7.6元</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预约披露2026年三季报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关注收入、亏损、经营现金流及减值变化；亏损收窄且现金流改善可验证修复，反之则低于预期。</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2026-08-27 半年报减值较大，现金流转正（中性）</w:t>
      </w:r>
      <w:r>
        <w:rPr>
          <w:sz w:val="22"/>
          <w:szCs w:val="22"/>
        </w:rPr>
        <w:t xml:space="preserve">：上半年经营现金流净额6.82亿元，由上年同期净流出转正；计提减值准备10.74亿元，减少合并利润总额，盈利修复仍待后续报告验证。</w:t>
      </w:r>
    </w:p>
    <w:p>
      <w:pPr>
        <w:pStyle w:val="ListParagraph"/>
        <w:numPr>
          <w:ilvl w:val="0"/>
          <w:numId w:val="2"/>
        </w:numPr>
        <w:spacing w:after="80" w:line="280"/>
      </w:pPr>
      <w:r>
        <w:rPr>
          <w:b/>
          <w:bCs/>
          <w:sz w:val="22"/>
          <w:szCs w:val="22"/>
        </w:rPr>
        <w:t xml:space="preserve">2026-09-29 限制性股票计划或摊薄股本（利空）</w:t>
      </w:r>
      <w:r>
        <w:rPr>
          <w:sz w:val="22"/>
          <w:szCs w:val="22"/>
        </w:rPr>
        <w:t xml:space="preserve">：草案拟定向发行2.60亿股，占总股本约2.54%；尚待股东会审议，若获批并满足归属条件将增加股本。</w:t>
      </w:r>
    </w:p>
    <w:p>
      <w:pPr>
        <w:pStyle w:val="ListParagraph"/>
        <w:numPr>
          <w:ilvl w:val="0"/>
          <w:numId w:val="2"/>
        </w:numPr>
        <w:spacing w:after="80" w:line="280"/>
      </w:pPr>
      <w:r>
        <w:rPr>
          <w:b/>
          <w:bCs/>
          <w:sz w:val="22"/>
          <w:szCs w:val="22"/>
        </w:rPr>
        <w:t xml:space="preserve">2026-09-22 回购股份注销完成（利好）</w:t>
      </w:r>
      <w:r>
        <w:rPr>
          <w:sz w:val="22"/>
          <w:szCs w:val="22"/>
        </w:rPr>
        <w:t xml:space="preserve">：注销回购股份2,972.13万股，占注销前总股本约0.29%；总股本降至约102.40亿股，形成小幅股本缩减。</w:t>
      </w:r>
    </w:p>
    <w:p>
      <w:pPr>
        <w:pStyle w:val="ListParagraph"/>
        <w:numPr>
          <w:ilvl w:val="0"/>
          <w:numId w:val="2"/>
        </w:numPr>
        <w:spacing w:after="80" w:line="280"/>
      </w:pPr>
      <w:r>
        <w:rPr>
          <w:b/>
          <w:bCs/>
          <w:sz w:val="22"/>
          <w:szCs w:val="22"/>
        </w:rPr>
        <w:t xml:space="preserve">2026-09-05 子公司担保规模较高（利空）</w:t>
      </w:r>
      <w:r>
        <w:rPr>
          <w:sz w:val="22"/>
          <w:szCs w:val="22"/>
        </w:rPr>
        <w:t xml:space="preserve">：新增子公司担保33亿元；截至公告日累计担保总额418.50亿元，占最近一期经审计净资产164.91%。担保额度不等于实际提款或损失。</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2025年组件销量86.81GW，TOPCon电池效率披露为27.79%，规模与产品迭代为行业复苏后争取份额提供基础。</w:t>
      </w:r>
    </w:p>
    <w:p>
      <w:pPr>
        <w:pStyle w:val="ListParagraph"/>
        <w:numPr>
          <w:ilvl w:val="0"/>
          <w:numId w:val="2"/>
        </w:numPr>
        <w:spacing w:after="80" w:line="280"/>
      </w:pPr>
      <w:r>
        <w:rPr>
          <w:sz w:val="22"/>
          <w:szCs w:val="22"/>
        </w:rPr>
        <w:t xml:space="preserve">2026年上半年经营现金流净额6.82亿元，由上年同期净流出转正，现金流表现先于利润改善。</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2025年主营光伏产品毛利率为-0.82%，组件价格竞争仍使规模优势难以兑现为稳定盈利。</w:t>
      </w:r>
    </w:p>
    <w:p>
      <w:pPr>
        <w:pStyle w:val="ListParagraph"/>
        <w:numPr>
          <w:ilvl w:val="0"/>
          <w:numId w:val="2"/>
        </w:numPr>
        <w:spacing w:after="80" w:line="280"/>
      </w:pPr>
      <w:r>
        <w:rPr>
          <w:sz w:val="22"/>
          <w:szCs w:val="22"/>
        </w:rPr>
        <w:t xml:space="preserve">上半年应收账款周转92天、存货周转120.7天，分别高于2025年末对应的73.6天和76.8天，营运资金占用加重。</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上半年计提存货跌价准备7.08亿元，若库存价格继续下跌或减值扩大，将进一步压低利润。</w:t>
      </w:r>
    </w:p>
    <w:p>
      <w:pPr>
        <w:pStyle w:val="ListParagraph"/>
        <w:numPr>
          <w:ilvl w:val="0"/>
          <w:numId w:val="2"/>
        </w:numPr>
        <w:spacing w:after="80" w:line="280"/>
      </w:pPr>
      <w:r>
        <w:rPr>
          <w:sz w:val="22"/>
          <w:szCs w:val="22"/>
        </w:rPr>
        <w:t xml:space="preserve">汇兑损失推高财务费用；若汇率波动延续，可能抵消经营端毛利修复。</w:t>
      </w:r>
    </w:p>
    <w:p>
      <w:pPr>
        <w:pStyle w:val="ListParagraph"/>
        <w:numPr>
          <w:ilvl w:val="0"/>
          <w:numId w:val="2"/>
        </w:numPr>
        <w:spacing w:after="80" w:line="280"/>
      </w:pPr>
      <w:r>
        <w:rPr>
          <w:sz w:val="22"/>
          <w:szCs w:val="22"/>
        </w:rPr>
        <w:t xml:space="preserve">截至公告日累计担保418.50亿元、占最近一期经审计净资产164.91%；若子公司偿债压力转化为实际代偿，将侵蚀现金与净资产。</w:t>
      </w:r>
    </w:p>
    <w:p>
      <w:pPr>
        <w:pStyle w:val="ListParagraph"/>
        <w:numPr>
          <w:ilvl w:val="0"/>
          <w:numId w:val="2"/>
        </w:numPr>
        <w:spacing w:after="80" w:line="280"/>
      </w:pPr>
      <w:r>
        <w:rPr>
          <w:sz w:val="22"/>
          <w:szCs w:val="22"/>
        </w:rPr>
        <w:t xml:space="preserve">拟定向发行2.60亿股、约占总股本2.54%；若获批并归属，将增加股本并摊薄每股收益。</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三季报盈利与毛利率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预约2026年10月31日披露</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亏损收窄且毛利率持续高于上半年3.41%</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亏损扩大或毛利率回落至零附近</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经营现金流与减值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上半年现金流净额6.82亿元，减值10.74亿元</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现金流持续为正且后续减值明显收敛</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现金流再度转负或减值继续扩大</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应收与存货周转</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周转天数分别92天、120.7天</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周转天数连续改善并回落至2025年末水平附近</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周转天数继续上升并伴随新增减值</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限制性股票计划</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拟发行2.60亿股，尚待股东会审议</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计划规模或实际归属低于草案上限</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计划获批并接近上限归属，摊薄如期发生</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以下为未来一周主观情景推演，权重是启发式判断、非统计概率，不构成投资建议。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股价从3.64元低点反弹，短线动能转暖，但仍受3.89元中轨及4.16元MA60压制；若失守3.64~3.65元支撑，弱势可能延续。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3.77 / MA10 3.80 / MA20 3.89 / MA60 4.16</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股价高于短均线，仍低于MA20与MA60。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-0.125 / DEA -0.131 / 柱 0.013</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柱值由负转正，短线动能有所修复。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51.1 / RSI14 41.5</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短周期回升，中周期仍偏弱。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4.13 / 中轨 3.89 / 下轨 3.65</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股价处于中轨下方、接近下轨。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近20日表现</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-7.49%；区间3.64~4.13元</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区间走势偏弱，收盘接近区间低位。</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3.89~4.13元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对应MA20、布林上轨及近20日高点；有效突破后可看向MA60附近。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3.77~3.80元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对应MA5与MA10；失守后将考验布林下轨及近期低点。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3.64~3.65元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对应52周低点与布林下轨；跌破将打开向下寻找新支撑的空间。</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以2026-09-30价格3.83元为基准，用近300个交易日的收益分布（按当前指数加权日波动率约2.0%缩放，保留这只股票自身的大涨大跌频率）推算未来5个交易日的收盘价范围：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3.65～4.01元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-4.7%～+4.7%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3.54～4.22元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-7.6%～+10.2%</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：3.64~3.89元；守住3.64~3.65元且未放量突破3.89元时，区间整理概率较高。按历史波动率测算，一周后收盘落在该区间的概率约50%。</w:t>
      </w:r>
    </w:p>
    <w:p>
      <w:pPr>
        <w:pStyle w:val="ListParagraph"/>
        <w:numPr>
          <w:ilvl w:val="0"/>
          <w:numId w:val="2"/>
        </w:numPr>
        <w:spacing w:after="80" w:line="280"/>
      </w:pPr>
      <w:r>
        <w:rPr>
          <w:b/>
          <w:bCs/>
          <w:sz w:val="22"/>
          <w:szCs w:val="22"/>
        </w:rPr>
        <w:t xml:space="preserve">偏弱下行（权重中等，约三成）</w:t>
      </w:r>
      <w:r>
        <w:rPr>
          <w:sz w:val="22"/>
          <w:szCs w:val="22"/>
        </w:rPr>
        <w:t xml:space="preserve">：3.50~3.64元；若收盘跌破3.64元且板块走弱，可能延续下探。按历史波动率测算，一周后收盘落在该区间的概率约10%。</w:t>
      </w:r>
    </w:p>
    <w:p>
      <w:pPr>
        <w:pStyle w:val="ListParagraph"/>
        <w:numPr>
          <w:ilvl w:val="0"/>
          <w:numId w:val="2"/>
        </w:numPr>
        <w:spacing w:after="80" w:line="280"/>
      </w:pPr>
      <w:r>
        <w:rPr>
          <w:b/>
          <w:bCs/>
          <w:sz w:val="22"/>
          <w:szCs w:val="22"/>
        </w:rPr>
        <w:t xml:space="preserve">反弹走强（权重偏低，约两成）</w:t>
      </w:r>
      <w:r>
        <w:rPr>
          <w:sz w:val="22"/>
          <w:szCs w:val="22"/>
        </w:rPr>
        <w:t xml:space="preserve">：3.89~4.16元；放量收复3.89元并有板块配合，可上看MA60附近。按历史波动率测算，一周后收盘落在该区间的概率约30%。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日换手率0.47%~0.78%，9月30日成交额2.99亿元。所列近10日成交额区间178.66亿~297.89亿元与单日数据明显不一致，故不据此判断。前十大流通股东截至2026-06-30合计持股67.62%，晶科能源投资持股54.16%；其中有华夏科创板50ETF持股0.71%，披露存在时滞，结构或已变化。股权集中，流通交易仍需关注成交深度。</w:t>
      </w:r>
    </w:p>
    <w:p>
      <w:pPr>
        <w:spacing w:after="160" w:line="300"/>
      </w:pPr>
      <w:r>
        <w:rPr>
          <w:sz w:val="22"/>
          <w:szCs w:val="22"/>
        </w:rPr>
        <w:t xml:space="preserve">若成交额连续两日超过9月30日的2.99亿元，且收盘站上3.89元，可视为量价转强信号。</w:t>
      </w:r>
    </w:p>
    <w:p>
      <w:pPr>
        <w:spacing w:after="200"/>
      </w:pPr>
      <w:r>
        <w:rPr>
          <w:i/>
          <w:iCs/>
          <w:color w:val="595959"/>
          <w:sz w:val="18"/>
          <w:szCs w:val="18"/>
        </w:rPr>
        <w:t xml:space="preserve">以上情景推演基于2026-09-30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static.cninfo.com.cn（公告PDF） — https://static.cninfo.com.cn/finalpage/2026-08-27/1225513196.PDF</w:t>
      </w:r>
    </w:p>
    <w:p>
      <w:pPr>
        <w:spacing w:after="200"/>
      </w:pPr>
      <w:r>
        <w:rPr>
          <w:i/>
          <w:iCs/>
          <w:color w:val="595959"/>
          <w:sz w:val="18"/>
          <w:szCs w:val="18"/>
        </w:rPr>
        <w:t xml:space="preserve">晶科能源股份有限公司2025年年度报告 — https://static.cninfo.com.cn/finalpage/2026-04-30/1225261496.PDF</w:t>
      </w:r>
    </w:p>
    <w:p>
      <w:pPr>
        <w:spacing w:after="200"/>
      </w:pPr>
      <w:r>
        <w:rPr>
          <w:i/>
          <w:iCs/>
          <w:color w:val="595959"/>
          <w:sz w:val="18"/>
          <w:szCs w:val="18"/>
        </w:rPr>
        <w:t xml:space="preserve">公司公告_晶科能源：2025年年度报告新浪财经_新浪网 — https://vip.stock.finance.sina.com.cn/corp/view/vCB_AllBulletinDetail.php?id=12282766</w:t>
      </w:r>
    </w:p>
    <w:p>
      <w:pPr>
        <w:spacing w:after="200"/>
      </w:pPr>
      <w:r>
        <w:rPr>
          <w:i/>
          <w:iCs/>
          <w:color w:val="595959"/>
          <w:sz w:val="18"/>
          <w:szCs w:val="18"/>
        </w:rPr>
        <w:t xml:space="preserve">财报摘要 — https://tool.stockstar.com/summary/caibao/688223</w:t>
      </w:r>
    </w:p>
    <w:p>
      <w:pPr>
        <w:spacing w:after="200"/>
      </w:pPr>
      <w:r>
        <w:rPr>
          <w:i/>
          <w:iCs/>
          <w:color w:val="595959"/>
          <w:sz w:val="18"/>
          <w:szCs w:val="18"/>
        </w:rPr>
        <w:t xml:space="preserve">static.cninfo.com.cn（公告PDF） — https://static.cninfo.com.cn/finalpage/2026-07-07/1225411643.PDF</w:t>
      </w:r>
    </w:p>
    <w:p>
      <w:pPr>
        <w:spacing w:after="200"/>
      </w:pPr>
      <w:r>
        <w:rPr>
          <w:i/>
          <w:iCs/>
          <w:color w:val="595959"/>
          <w:sz w:val="18"/>
          <w:szCs w:val="18"/>
        </w:rPr>
        <w:t xml:space="preserve">Top ten solar manufacturers shipped over 500GW of modules in 2025 - PV Tech — https://www.pv-tech.org/top-ten-solar-manufacturers-shipped-over-500gw-of-modules-in-2025/</w:t>
      </w:r>
    </w:p>
    <w:p>
      <w:pPr>
        <w:spacing w:after="200"/>
      </w:pPr>
      <w:r>
        <w:rPr>
          <w:i/>
          <w:iCs/>
          <w:color w:val="595959"/>
          <w:sz w:val="18"/>
          <w:szCs w:val="18"/>
        </w:rPr>
        <w:t xml:space="preserve">东方财富 F10 财务分析 — https://emweb.securities.eastmoney.com/pc_hsf10/pages/index.html?type=web&amp;code=SH688223#/cwfx</w:t>
      </w:r>
    </w:p>
    <w:p>
      <w:pPr>
        <w:spacing w:after="200"/>
      </w:pPr>
      <w:r>
        <w:rPr>
          <w:i/>
          <w:iCs/>
          <w:color w:val="595959"/>
          <w:sz w:val="18"/>
          <w:szCs w:val="18"/>
        </w:rPr>
        <w:t xml:space="preserve">东方财富 F10 盈利预测 — https://emweb.securities.eastmoney.com/pc_hsf10/pages/index.html?type=web&amp;code=SH688223#/ylyc</w:t>
      </w:r>
    </w:p>
    <w:p>
      <w:pPr>
        <w:spacing w:after="200"/>
      </w:pPr>
      <w:r>
        <w:rPr>
          <w:i/>
          <w:iCs/>
          <w:color w:val="595959"/>
          <w:sz w:val="18"/>
          <w:szCs w:val="18"/>
        </w:rPr>
        <w:t xml:space="preserve">晶科能源:晶科能源2026年半年度报告 — https://pdf.dfcfw.com/pdf/H2_AN202608261828491634_1.pdf</w:t>
      </w:r>
    </w:p>
    <w:p>
      <w:pPr>
        <w:spacing w:after="200"/>
      </w:pPr>
      <w:r>
        <w:rPr>
          <w:i/>
          <w:iCs/>
          <w:color w:val="595959"/>
          <w:sz w:val="18"/>
          <w:szCs w:val="18"/>
        </w:rPr>
        <w:t xml:space="preserve">晶科能源(688223)_公司公告_晶科能源：2026年半年度报告摘要新浪财经_新浪网 — https://money.finance.sina.com.cn/corp/view/vCB_AllBulletinDetail.php?id=12551952&amp;stockid=688223</w:t>
      </w:r>
    </w:p>
    <w:p>
      <w:pPr>
        <w:spacing w:after="200"/>
      </w:pPr>
      <w:r>
        <w:rPr>
          <w:i/>
          <w:iCs/>
          <w:color w:val="595959"/>
          <w:sz w:val="18"/>
          <w:szCs w:val="18"/>
        </w:rPr>
        <w:t xml:space="preserve">晶科能源(688223)_公司公告_晶科能源：关于2026年半年度计提资产减值准备的公告新浪财经_新浪网 — https://vip.stock.finance.sina.com.cn/corp/view/vCB_AllBulletinDetail.php?id=12551945&amp;stockid=688223</w:t>
      </w:r>
    </w:p>
    <w:p>
      <w:pPr>
        <w:spacing w:after="200"/>
      </w:pPr>
      <w:r>
        <w:rPr>
          <w:i/>
          <w:iCs/>
          <w:color w:val="595959"/>
          <w:sz w:val="18"/>
          <w:szCs w:val="18"/>
        </w:rPr>
        <w:t xml:space="preserve">证券代码：688223  证券简称：晶科能源  公告编号：2026-048 — https://static.cninfo.com.cn/finalpage/2026-07-22/1225435849.PDF</w:t>
      </w:r>
    </w:p>
    <w:p>
      <w:pPr>
        <w:spacing w:after="200"/>
      </w:pPr>
      <w:r>
        <w:rPr>
          <w:i/>
          <w:iCs/>
          <w:color w:val="595959"/>
          <w:sz w:val="18"/>
          <w:szCs w:val="18"/>
        </w:rPr>
        <w:t xml:space="preserve">晶科能源(688223)_公司公告_晶科能源：关于完成回购股份注销调整可转债转股价格暨转股停牌的公告新浪财经_新浪网 — https://money.finance.sina.com.cn/corp/view/vCB_AllBulletinDetail.php?id=12616261&amp;stockid=688223</w:t>
      </w:r>
    </w:p>
    <w:p>
      <w:pPr>
        <w:spacing w:after="200"/>
      </w:pPr>
      <w:r>
        <w:rPr>
          <w:i/>
          <w:iCs/>
          <w:color w:val="595959"/>
          <w:sz w:val="18"/>
          <w:szCs w:val="18"/>
        </w:rPr>
        <w:t xml:space="preserve">晶科能源(688223)_公司公告_晶科能源：第二届董事会第三十四次会议决议公告新浪财经_新浪网 — https://money.finance.sina.com.cn/corp/view/vCB_AllBulletinDetail.php?id=12624347&amp;stockid=688223</w:t>
      </w:r>
    </w:p>
    <w:p>
      <w:pPr>
        <w:spacing w:after="200"/>
      </w:pPr>
      <w:r>
        <w:rPr>
          <w:i/>
          <w:iCs/>
          <w:color w:val="595959"/>
          <w:sz w:val="18"/>
          <w:szCs w:val="18"/>
        </w:rPr>
        <w:t xml:space="preserve">晶科能源(688223)_公司公告_晶科能源：关于提供担保的进展公告新浪财经_新浪网 — https://money.finance.sina.com.cn/corp/view/vCB_AllBulletinDetail.php?id=12585612&amp;stockid=688223</w:t>
      </w:r>
    </w:p>
    <w:p>
      <w:pPr>
        <w:spacing w:after="200"/>
      </w:pPr>
      <w:r>
        <w:rPr>
          <w:i/>
          <w:iCs/>
          <w:color w:val="595959"/>
          <w:sz w:val="18"/>
          <w:szCs w:val="18"/>
        </w:rPr>
        <w:t xml:space="preserve">晶科能源(688223) 股本结构_F10_同花顺金融服务网 — https://basic.10jqka.com.cn/688223/equity.html</w:t>
      </w:r>
    </w:p>
    <w:p>
      <w:pPr>
        <w:spacing w:after="200"/>
      </w:pPr>
      <w:r>
        <w:rPr>
          <w:i/>
          <w:iCs/>
          <w:color w:val="595959"/>
          <w:sz w:val="18"/>
          <w:szCs w:val="18"/>
        </w:rPr>
        <w:t xml:space="preserve">晶科能源(688223)_公司公告_晶科能源：2026年9月投资者关系活动记录表新浪财经_新浪网 — https://money.finance.sina.com.cn/corp/view/vCB_AllBulletinDetail.php?id=12629189&amp;stockid=688223</w:t>
      </w:r>
    </w:p>
    <w:p>
      <w:pPr>
        <w:spacing w:after="200"/>
      </w:pPr>
      <w:r>
        <w:rPr>
          <w:i/>
          <w:iCs/>
          <w:color w:val="595959"/>
          <w:sz w:val="18"/>
          <w:szCs w:val="18"/>
        </w:rPr>
        <w:t xml:space="preserve">东方财富 个股资金流向 — https://data.eastmoney.com/zjlx/688223.html</w:t>
      </w:r>
    </w:p>
    <w:p>
      <w:pPr>
        <w:spacing w:after="200"/>
      </w:pPr>
      <w:r>
        <w:rPr>
          <w:i/>
          <w:iCs/>
          <w:color w:val="595959"/>
          <w:sz w:val="18"/>
          <w:szCs w:val="18"/>
        </w:rPr>
        <w:t xml:space="preserve">东方财富 股东研究 — https://emweb.securities.eastmoney.com/pc_hsf10/pages/index.html?type=web&amp;code=SH688223#/gdyj</w:t>
      </w:r>
    </w:p>
    <w:p>
      <w:pPr>
        <w:spacing w:after="200"/>
      </w:pPr>
      <w:r>
        <w:rPr>
          <w:i/>
          <w:iCs/>
          <w:color w:val="595959"/>
          <w:sz w:val="18"/>
          <w:szCs w:val="18"/>
        </w:rPr>
        <w:t xml:space="preserve">本报告由AI基于公开渠道信息自动检索、整理并生成，信息截至 2026-09-30收盘，可能存在时效性差异，具体数据请以公司正式公告及权威数据终端为准。本报告仅为信息整理与研究参考，不构成任何投资建议，投资者应独立判断并自行承担投资风险。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2026-10-01T20:11:48.133Z</dcterms:created>
  <dcterms:modified xsi:type="dcterms:W3CDTF">2026-10-01T20:11:48.133Z</dcterms:modified>
</cp:coreProperties>
</file>

<file path=docProps/custom.xml><?xml version="1.0" encoding="utf-8"?>
<Properties xmlns="http://schemas.openxmlformats.org/officeDocument/2006/custom-properties" xmlns:vt="http://schemas.openxmlformats.org/officeDocument/2006/docPropsVTypes"/>
</file>