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中科寒武纪科技股份有限公司（寒武纪） (688256)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行业：人工智能芯片与基础软件</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数据截至2026年9月11日收盘；收盘行情主要采用爱股票截至2026年9月11日15:00:07的数据，部分技术指标及股东数据存在不同口径或滞后性。</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寒武纪2026年上半年实现营业收入59.96亿元，同比增长108.13%；归母净利润23.11亿元，同比增长122.61%，扣非归母净利润21.66亿元，同比增长137.30%，主营业务盈利能力明显增强。但同期经营活动现金流量净额仅3.11亿元，同比下降65.83%，收入和利润快速增长向现金回款的转化仍需验证。</w:t>
      </w:r>
    </w:p>
    <w:p>
      <w:pPr>
        <w:spacing w:after="160" w:line="300"/>
      </w:pPr>
      <w:r>
        <w:rPr>
          <w:sz w:val="22"/>
          <w:szCs w:val="22"/>
        </w:rPr>
        <w:t xml:space="preserve">公司增长高度依赖云端产品线。2025年云端产品线收入64.77亿元，占主营业务收入约99.7%，毛利率55.22%；边缘产品线收入339.40万元，同比下降48.12%，处理器IP授权及软件收入约228.87万元，其他业务规模也较小。公司已从2024年归母净利润亏损4.52亿元转为2025年盈利20.59亿元，2026年上半年盈利进一步增长，显示云端AI芯片放量、客户导入和规模效应正在改善业绩。</w:t>
      </w:r>
    </w:p>
    <w:p>
      <w:pPr>
        <w:spacing w:after="160" w:line="300"/>
      </w:pPr>
      <w:r>
        <w:rPr>
          <w:sz w:val="22"/>
          <w:szCs w:val="22"/>
        </w:rPr>
        <w:t xml:space="preserve">公司采用Fabless模式，技术价值集中于智能处理器架构、芯片设计、基础软件和工具链，但晶圆制造、封装测试、板卡及服务器配套依赖外部供应商。2025年前五大供应商采购占比75.23%，第一大供应商占比55.34%；前五大客户销售占比88.66%，客户和供应商集中度均较高，业务对少数大客户采购节奏及供应链交付稳定性较为敏感。</w:t>
      </w:r>
    </w:p>
    <w:p>
      <w:pPr>
        <w:spacing w:after="160" w:line="300"/>
      </w:pPr>
      <w:r>
        <w:rPr>
          <w:sz w:val="22"/>
          <w:szCs w:val="22"/>
        </w:rPr>
        <w:t xml:space="preserve">截至2026年9月11日，公司股价为1040元，总市值约6540亿元，滚动市盈率约150.94倍、市净率约48.20倍，市场估值已包含较高增长预期。技术上股价低于自算MA5、MA10、MA20及布林中轨，MACD为负，近期处于高位回落后的弱势震荡，1000~1015元和950~970元为主要支撑参考，1065~1080元及1090~1120元为反弹压力参考。</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688256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2020年7月20日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注册地址及主要办公地点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北京市海淀区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2016年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人工智能芯片及配套基础软件的研发、设计和销售，覆盖云端、边缘端及终端人工智能计算芯片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Fabless模式，晶圆制造、封装测试等环节委托专业厂商完成，公司不拥有传统意义上的晶圆厂或自有晶圆生产线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研究纪要未披露公司2025年营业收入绝对值；云端产品线收入为64.77亿元，占主营业务收入约99.7%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2025年研发投入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11.69亿元，占营业收入17.99%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2025年末研发人员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887人，占公司员工总数的80.13%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约20.59亿元；扣除非经常性损益后归母净利润约17.70亿元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云端产品线：面向数据中心、智能计算中心、互联网及大模型训练和推理场景，产品包括思元100、思元270、思元290、思元370等云端智能芯片及加速卡，并延伸至智能整机、服务器和智能计算集群系统。2025年度收入64.77亿元，占主营业务收入约99.7%，毛利率55.22%。</w:t>
      </w:r>
    </w:p>
    <w:p>
      <w:pPr>
        <w:pStyle w:val="ListParagraph"/>
        <w:numPr>
          <w:ilvl w:val="0"/>
          <w:numId w:val="2"/>
        </w:numPr>
        <w:spacing w:after="80" w:line="280"/>
      </w:pPr>
      <w:r>
        <w:rPr>
          <w:sz w:val="22"/>
          <w:szCs w:val="22"/>
        </w:rPr>
        <w:t xml:space="preserve">边缘产品线：面向工业、交通、能源、视频分析、智能制造和边缘服务器等场景，代表性产品包括基于思元220的边缘智能加速卡。2025年度收入339.40万元，同比下降48.12%，毛利率44.52%。</w:t>
      </w:r>
    </w:p>
    <w:p>
      <w:pPr>
        <w:pStyle w:val="ListParagraph"/>
        <w:numPr>
          <w:ilvl w:val="0"/>
          <w:numId w:val="2"/>
        </w:numPr>
        <w:spacing w:after="80" w:line="280"/>
      </w:pPr>
      <w:r>
        <w:rPr>
          <w:sz w:val="22"/>
          <w:szCs w:val="22"/>
        </w:rPr>
        <w:t xml:space="preserve">处理器IP授权及软件：提供终端智能处理器IP授权，以及基础系统软件、编程框架适配、编译器、数学库、训练及推理工具链等。2025年度收入约228.87万元，毛利率100%，但收入规模较小。</w:t>
      </w:r>
    </w:p>
    <w:p>
      <w:pPr>
        <w:pStyle w:val="ListParagraph"/>
        <w:numPr>
          <w:ilvl w:val="0"/>
          <w:numId w:val="2"/>
        </w:numPr>
        <w:spacing w:after="80" w:line="280"/>
      </w:pPr>
      <w:r>
        <w:rPr>
          <w:sz w:val="22"/>
          <w:szCs w:val="22"/>
        </w:rPr>
        <w:t xml:space="preserve">智能整机及智能计算集群系统：将自研云端芯片及板卡与服务器、网络设备、存储设备和集群管理软件结合，为数据中心客户提供整机或集群级软硬件一体化方案。2025年年报未单独披露该业务的收入规模。</w:t>
      </w:r>
    </w:p>
    <w:p>
      <w:pPr>
        <w:pStyle w:val="ListParagraph"/>
        <w:numPr>
          <w:ilvl w:val="0"/>
          <w:numId w:val="2"/>
        </w:numPr>
        <w:spacing w:after="80" w:line="280"/>
      </w:pPr>
      <w:r>
        <w:rPr>
          <w:sz w:val="22"/>
          <w:szCs w:val="22"/>
        </w:rPr>
        <w:t xml:space="preserve">其他业务：2025年度收入1,465.82万元，毛利率22.11%。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寒武纪位于人工智能算力产业链中游偏上游的芯片设计和基础软件环节。公司采用Fabless模式，核心价值来自智能处理器架构、指令集、SoC设计、基础软件、编译工具链、板卡系统研发及客户适配能力；但晶圆制造、封装测试和部分服务器及板卡配套环节依赖外部供应商。</w:t>
      </w:r>
    </w:p>
    <w:p>
      <w:pPr>
        <w:pStyle w:val="ListParagraph"/>
        <w:numPr>
          <w:ilvl w:val="0"/>
          <w:numId w:val="2"/>
        </w:numPr>
        <w:spacing w:after="80" w:line="280"/>
      </w:pPr>
      <w:r>
        <w:rPr>
          <w:sz w:val="22"/>
          <w:szCs w:val="22"/>
        </w:rPr>
        <w:t xml:space="preserve">实际采购和依赖的上游环节包括晶圆制造、封装测试、第三方IP授权，以及服务器、板卡、网络、存储设备和其他直接材料、配套物料供应商。</w:t>
      </w:r>
    </w:p>
    <w:p>
      <w:pPr>
        <w:pStyle w:val="ListParagraph"/>
        <w:numPr>
          <w:ilvl w:val="0"/>
          <w:numId w:val="2"/>
        </w:numPr>
        <w:spacing w:after="80" w:line="280"/>
      </w:pPr>
      <w:r>
        <w:rPr>
          <w:sz w:val="22"/>
          <w:szCs w:val="22"/>
        </w:rPr>
        <w:t xml:space="preserve">2025年成本结构中，直接材料成本14.69亿元，占总成本50.40%；封装测试成本3.44亿元，占比11.80%；制造费用1.13亿元，占比3.89%；其他材料成本9.88亿元，占比33.91%。</w:t>
      </w:r>
    </w:p>
    <w:p>
      <w:pPr>
        <w:pStyle w:val="ListParagraph"/>
        <w:numPr>
          <w:ilvl w:val="0"/>
          <w:numId w:val="2"/>
        </w:numPr>
        <w:spacing w:after="80" w:line="280"/>
      </w:pPr>
      <w:r>
        <w:rPr>
          <w:sz w:val="22"/>
          <w:szCs w:val="22"/>
        </w:rPr>
        <w:t xml:space="preserve">公司为Fabless企业，不掌握晶圆制造和封装测试产能，产能和交付能力取决于晶圆代工工艺及可获得产能、封装测试产能和良率、板卡及服务器加工配套能力、公司自身流片和产品导入能力，以及客户订单和库存备货节奏。</w:t>
      </w:r>
    </w:p>
    <w:p>
      <w:pPr>
        <w:pStyle w:val="ListParagraph"/>
        <w:numPr>
          <w:ilvl w:val="0"/>
          <w:numId w:val="2"/>
        </w:numPr>
        <w:spacing w:after="80" w:line="280"/>
      </w:pPr>
      <w:r>
        <w:rPr>
          <w:sz w:val="22"/>
          <w:szCs w:val="22"/>
        </w:rPr>
        <w:t xml:space="preserve">2025年智能芯片及板卡生产量为127,673片，同比增长409.84%；销售量为117,436片，同比增长201.57%；库存量为857,057片，同比增长0.63%。该生产量不能等同于公司自有制造产能，年报未披露具体晶圆代工厂名称及产能份额。</w:t>
      </w:r>
    </w:p>
    <w:p>
      <w:pPr>
        <w:pStyle w:val="ListParagraph"/>
        <w:numPr>
          <w:ilvl w:val="0"/>
          <w:numId w:val="2"/>
        </w:numPr>
        <w:spacing w:after="80" w:line="280"/>
      </w:pPr>
      <w:r>
        <w:rPr>
          <w:sz w:val="22"/>
          <w:szCs w:val="22"/>
        </w:rPr>
        <w:t xml:space="preserve">2025年前五大供应商采购额约57.07亿元，占年度采购总额75.23%；第一大供应商采购金额约41.98亿元，占比55.34%。该数据来自2025年年度报告，供应商名称未公开列示，无法进一步核实第一大供应商具体对应晶圆制造、封装测试还是其他综合供应商。</w:t>
      </w:r>
    </w:p>
    <w:p>
      <w:pPr>
        <w:pStyle w:val="ListParagraph"/>
        <w:numPr>
          <w:ilvl w:val="0"/>
          <w:numId w:val="2"/>
        </w:numPr>
        <w:spacing w:after="80" w:line="280"/>
      </w:pPr>
      <w:r>
        <w:rPr>
          <w:sz w:val="22"/>
          <w:szCs w:val="22"/>
        </w:rPr>
        <w:t xml:space="preserve">公司对先进晶圆制造、封装测试和高端板卡等资源的议价能力相对有限，相关成本和交付会受到先进制程、封装技术、产能、良率及供应链限制影响。公司及部分子公司被列入美国“实体清单”，可能增加供应链切换和采购稳定性风险。</w:t>
      </w:r>
    </w:p>
    <w:p>
      <w:pPr>
        <w:pStyle w:val="ListParagraph"/>
        <w:numPr>
          <w:ilvl w:val="0"/>
          <w:numId w:val="2"/>
        </w:numPr>
        <w:spacing w:after="80" w:line="280"/>
      </w:pPr>
      <w:r>
        <w:rPr>
          <w:sz w:val="22"/>
          <w:szCs w:val="22"/>
        </w:rPr>
        <w:t xml:space="preserve">下游客户主要包括服务器厂商、电信运营商、互联网企业、金融客户，以及交通、能源、电力、制造、智能计算中心和数据中心客户；产品通常通过服务器厂商、集成商、云计算客户或行业项目进入最终应用场景。</w:t>
      </w:r>
    </w:p>
    <w:p>
      <w:pPr>
        <w:pStyle w:val="ListParagraph"/>
        <w:numPr>
          <w:ilvl w:val="0"/>
          <w:numId w:val="2"/>
        </w:numPr>
        <w:spacing w:after="80" w:line="280"/>
      </w:pPr>
      <w:r>
        <w:rPr>
          <w:sz w:val="22"/>
          <w:szCs w:val="22"/>
        </w:rPr>
        <w:t xml:space="preserve">公司主要采用直销模式。2025年直销收入64.41亿元，占主营业务收入99.13%；经销收入约5,641.69万元。</w:t>
      </w:r>
    </w:p>
    <w:p>
      <w:pPr>
        <w:pStyle w:val="ListParagraph"/>
        <w:numPr>
          <w:ilvl w:val="0"/>
          <w:numId w:val="2"/>
        </w:numPr>
        <w:spacing w:after="80" w:line="280"/>
      </w:pPr>
      <w:r>
        <w:rPr>
          <w:sz w:val="22"/>
          <w:szCs w:val="22"/>
        </w:rPr>
        <w:t xml:space="preserve">2025年前五大客户销售额约57.60亿元，占年度销售总额88.66%；第一、第二、第四、第五大客户销售金额分别为17.03亿元、14.01亿元、7.64亿元和6.55亿元。该数据来自2025年年度报告，客户名称未公开完整列示，且研究纪要未提供第三大客户金额，无法对单一客户的最终行业属性和订单稳定性逐一验证。</w:t>
      </w:r>
    </w:p>
    <w:p>
      <w:pPr>
        <w:pStyle w:val="ListParagraph"/>
        <w:numPr>
          <w:ilvl w:val="0"/>
          <w:numId w:val="2"/>
        </w:numPr>
        <w:spacing w:after="80" w:line="280"/>
      </w:pPr>
      <w:r>
        <w:rPr>
          <w:sz w:val="22"/>
          <w:szCs w:val="22"/>
        </w:rPr>
        <w:t xml:space="preserve">下游客户集中度较高，主要由于AI芯片需要经过服务器厂商、运营商、互联网平台及大型行业客户验证和集采。大型客户采购规模较大，但采购节奏、产品路线变化和供应商切换可能显著影响公司收入。</w:t>
      </w:r>
    </w:p>
    <w:p>
      <w:pPr>
        <w:pStyle w:val="ListParagraph"/>
        <w:numPr>
          <w:ilvl w:val="0"/>
          <w:numId w:val="2"/>
        </w:numPr>
        <w:spacing w:after="80" w:line="280"/>
      </w:pPr>
      <w:r>
        <w:rPr>
          <w:sz w:val="22"/>
          <w:szCs w:val="22"/>
        </w:rPr>
        <w:t xml:space="preserve">公司面对的主要是大型服务器厂商、运营商、互联网企业和行业客户，而非普通消费电子渠道。客户通常具有较强议价能力，芯片单价和毛利率取决于产品性能、软件生态、客户适配难度、交付形态及客户采购能力。</w:t>
      </w:r>
    </w:p>
    <w:p>
      <w:pPr>
        <w:pStyle w:val="ListParagraph"/>
        <w:numPr>
          <w:ilvl w:val="0"/>
          <w:numId w:val="2"/>
        </w:numPr>
        <w:spacing w:after="80" w:line="280"/>
      </w:pPr>
      <w:r>
        <w:rPr>
          <w:sz w:val="22"/>
          <w:szCs w:val="22"/>
        </w:rPr>
        <w:t xml:space="preserve">2025年云端产品线收入占主营业务收入约99.7%，业务结构高度集中于数据中心和大模型算力需求，既有利于受益于AI算力基础设施建设，也提高了公司对云端产品迭代、头部客户需求和高端AI芯片供应链的依赖。</w:t>
      </w:r>
    </w:p>
    <w:p>
      <w:pPr>
        <w:pStyle w:val="ListParagraph"/>
        <w:numPr>
          <w:ilvl w:val="0"/>
          <w:numId w:val="2"/>
        </w:numPr>
        <w:spacing w:after="80" w:line="280"/>
      </w:pPr>
      <w:r>
        <w:rPr>
          <w:sz w:val="22"/>
          <w:szCs w:val="22"/>
        </w:rPr>
        <w:t xml:space="preserve">截至2025年12月31日，应收账款账面价值6.71亿元，占全年营业收入约10.32%；2024年末应收账款为3.05亿元，占2024年营业收入约25.94%，按年末应收账款与当年营业收入简单测算，2025年该比例较2024年下降。该比例不是严格意义上的应收账款周转天数，且可能受到季度收入结构影响。2025年存货账面价值49.44亿元，占期末资产总额36.79%，较2024年末增长178.67%；应付账款7.65亿元，较上年增长48.65%，显示公司进行了较大规模备货。存货增长有助于保障交付，但芯片迭代和需求变化可能带来跌价风险。</w:t>
      </w:r>
    </w:p>
    <w:p>
      <w:pPr>
        <w:pStyle w:val="ListParagraph"/>
        <w:numPr>
          <w:ilvl w:val="0"/>
          <w:numId w:val="2"/>
        </w:numPr>
        <w:spacing w:after="80" w:line="280"/>
      </w:pPr>
      <w:r>
        <w:rPr>
          <w:sz w:val="22"/>
          <w:szCs w:val="22"/>
        </w:rPr>
        <w:t xml:space="preserve">供应商集中度和客户集中度均较高：2025年前五大供应商采购占比75.23%，第一大供应商占比55.34%；2025年前五大客户销售占比88.66%。上述数据均来自2025年年度报告，属于单年度披露，供应商和客户名称未完整公开列示，研究纪要未提供其他年度可交叉核实数据，具体集中度情况应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综合毛利率约65.76%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净利率无法根据研究纪要准确计算；研究纪要仅说明净利润为亏损</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公司仍处于亏损状态，研究纪要未进一步拆分上游成本、产品结构和下游议价因素对当年毛利率的具体影响。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综合毛利率69.16%，同比提高3.40个百分点</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净利率无法根据研究纪要准确计算；归母净利润亏损约8.48亿元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毛利率提高主要与产品结构、算力基础设施项目及成本控制等因素有关；研究纪要称智能计算集群系统及高毛利芯片、软件业务占比也对毛利率形成支持。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主营业务毛利率56.71%，同比下降12.59个百分点；云端产品线毛利率56.69%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净利率无法根据研究纪要准确计算；归母净利润亏损约4.52亿元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毛利率下降与收入结构转向云端芯片及板卡、业务拓展、产品售价、原材料和封装测试成本变化，以及新客户和新场景导入有关。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主营业务毛利率55.15%，同比下降1.56个百分点；云端产品线毛利率55.22%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净利率无法根据研究纪要准确计算；归母净利润约20.59亿元，扣非后归母净利润约17.70亿元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云端产品线收入占比约99.7%，规模大幅扩大但毛利率仍受直接材料、封装测试、板卡及其他材料成本和客户竞争影响；收入放量、规模效应及高端产品需求推动盈利改善，但客户议价和产品价格压力仍构成约束。</w:t>
            </w:r>
          </w:p>
        </w:tc>
      </w:tr>
    </w:tbl>
    <w:p>
      <w:pPr>
        <w:spacing w:before="200"/>
      </w:pPr>
    </w:p>
    <w:p>
      <w:pPr>
        <w:spacing w:after="160" w:line="300"/>
      </w:pPr>
      <w:r>
        <w:rPr>
          <w:sz w:val="22"/>
          <w:szCs w:val="22"/>
        </w:rPr>
        <w:t xml:space="preserve">寒武纪处于技术密集型的芯片设计和基础软件中游偏上游环节，既不是掌握资源控制权的上游材料企业，也不是拥有终端品牌和平台入口的下游企业。公司具备一定技术溢价和较高软件及芯片研发壁垒，但受晶圆代工、封装测试、板卡供应商及少数大客户共同约束；未来利润改善主要取决于云端AI芯片放量、高端产品和板卡占比提升、软件生态及客户粘性增强、供应链效率改善、客户集中度下降和规模效应释放。</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59.96亿元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同比增加108.13%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归母净利润23.11亿元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同比增长122.61%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约31.11亿元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同比增长75.83%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归母净利润约12.98亿元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同比增长90.11%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64.97亿元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同比增长453.21%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归母净利润20.59亿元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2024年亏损4.52亿元，2025年扭亏为盈</w:t>
            </w:r>
          </w:p>
        </w:tc>
      </w:tr>
    </w:tbl>
    <w:p>
      <w:pPr>
        <w:spacing w:after="200"/>
      </w:pPr>
      <w:r>
        <w:rPr>
          <w:i/>
          <w:iCs/>
          <w:color w:val="595959"/>
          <w:sz w:val="18"/>
          <w:szCs w:val="18"/>
        </w:rPr>
        <w:t xml:space="preserve">截至2026年6月30日，公司最新一期公开财报为2026年半年度报告。2026年上半年扣非归母净利润为21.66亿元，同比增长137.30%；扣非净利润约占归母净利润的93.7%。经营活动产生的现金流量净额为3.11亿元，同比下降65.83%；基本每股收益为3.68元，同比增长119.05%。截至2026年6月30日，归属于上市公司股东的净资产为135.55亿元，较2025年末增长14.53%；总资产为181.99亿元，较2025年末增长35.43%。2025年度扣非归母净利润为17.70亿元，2024年为亏损8.65亿元，基本每股收益为4.93元。</w:t>
      </w:r>
    </w:p>
    <w:p>
      <w:pPr>
        <w:spacing w:after="160" w:line="300"/>
      </w:pPr>
      <w:r>
        <w:rPr>
          <w:sz w:val="22"/>
          <w:szCs w:val="22"/>
        </w:rPr>
        <w:t xml:space="preserve">2026年上半年收入、归母净利润和扣非归母净利润均实现高速增长，扣非归母净利润增速高于归母净利润增速，利润增长主要来自主营业务而非一次性收益。不过，经营活动现金流同比下降65.83%，收入增长向现金回款的转化情况仍需后续验证。2026年第二季度单季度毛利率约56.10%，较上年同期提升0.22个百分点，较2026年第一季度提升约1.77个百分点。2025年公司上市以来首次实现年度盈利。</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盈利预测页面显示，截至2026年9月12日，近6个月共有17家机构进行盈利预测。2026年净利润预测区间为38.07亿至75.49亿元，EPS预测区间为6.06元至12.01元；2027年净利润预测区间为82.57亿至172.22亿元，EPS预测区间为13.14元至27.41元；2028年净利润预测区间为135.65亿至350.81亿元，EPS预测区间为21.59元至55.84元。代表性券商包括华鑫证券、西部证券、浙商证券、国联民生证券和国海证券。华鑫证券2026—2028年营业收入数据在页面未完整显示；西部证券页面部分预测数字存在展示错位，使用时应以原始研报为准。2027—2028年收入缺少统一的多机构平均值，不宜直接视为市场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机构预测平均值约159.16亿元；代表性券商预测约155.83亿至197.97亿元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机构预测归母净利润平均值56.18亿元；代表性券商预测约52.20亿至71.71亿元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较2025年实际归母净利润20.59亿元增长约172.8%（按机构均值测算）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机构预测平均值8.94元；代表性券商预测8.32元至8.75元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同花顺未完整披露多机构平均值；代表性券商预测约264.66亿至364.19亿元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机构预测归母净利润平均值116.24亿元；代表性券商预测约98.25亿至123.10亿元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研究纪要未提供统一同比增速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机构预测平均值18.50元；代表性券商预测15.64元至18.42元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同花顺未完整披露多机构平均值；代表性券商预测约396.75亿至600.85亿元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机构预测归母净利润平均值196.64亿元；代表性券商预测约156.12亿至198.38亿元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研究纪要未提供统一同比增速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机构预测平均值31.30元；代表性券商预测24.85元至31.55元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维持“推荐”评级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12个月目标价由1614.77元上调至1841元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富途市场分析师汇总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未明确披露统一评级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平均目标价1657.64元，最高1918.71元，最低1350.00元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Investing.com第三方汇总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整体偏向“强力买入”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12个月平均目标价约1668元，最高约2020元，最低约1340元</w:t>
            </w:r>
          </w:p>
        </w:tc>
      </w:tr>
    </w:tbl>
    <w:p>
      <w:pPr>
        <w:spacing w:before="200"/>
      </w:pPr>
    </w:p>
    <w:p>
      <w:pPr>
        <w:spacing w:after="160" w:line="300"/>
      </w:pPr>
      <w:r>
        <w:rPr>
          <w:sz w:val="22"/>
          <w:szCs w:val="22"/>
        </w:rPr>
        <w:t xml:space="preserve">截至2026年9月11日最近交易日，寒武纪收盘价约1040元，总市值约6540亿元。不同数据源显示PE（TTM）约150.94倍至197倍，PB约47.75倍至48.33倍；研究纪要建议概括为静态/滚动市盈率约150—200倍、市净率约48倍。爱股票数据显示总市值约6540.08亿元、PE（TTM）约150.94倍、PB约48.20倍；本源量化数据显示总市值约6564亿元、PE（TTM）约197倍、PB约48.33倍；Ashare Dashboard盘中数据显示股价约1031.34元、总市值约6485.6亿元、PE（TTM）约194.64倍、PB约47.75倍。若以约1040元收盘价和同花顺机构预测EPS均值测算，2026—2028年远期PE分别约116倍、56倍和33倍，但该测算基于预测EPS，并非已实现业绩对应的实际PE。当前估值已包含较高的未来增长预期，能否消化取决于2026年收入能否达到约155亿至198亿元、归母净利润能否达到约52亿至72亿元，以及订单兑现、供应链产能、产品迭代、客户集中度、竞争格局和现金流改善情况。机构评级总体以“买入”“推荐”为主，但不同机构对收入和利润预测分歧较大，相关预测不应视为确定性结果。</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2026年半年度业绩保持高增长，但经营现金流同比下降</w:t>
      </w:r>
    </w:p>
    <w:p>
      <w:pPr>
        <w:spacing w:after="160" w:line="300"/>
      </w:pPr>
      <w:r>
        <w:rPr>
          <w:sz w:val="22"/>
          <w:szCs w:val="22"/>
        </w:rPr>
        <w:t xml:space="preserve">公司于2026年8月8日披露2026年半年度报告。2026年上半年营业收入约59.96亿元，同比增长108.13%；归属于上市公司股东的净利润约23.11亿元，同比增长122.61%；扣除非经常性损益后的净利润约21.66亿元，同比增长137.30%；基本每股收益3.68元，同比增长119.05%。经营活动产生的现金流量净额约3.11亿元，同比下降65.83%。上述数据来自未经审计的2026年半年度报告。</w:t>
      </w:r>
    </w:p>
    <w:p>
      <w:pPr>
        <w:pStyle w:val="Heading2"/>
        <w:spacing w:after="120" w:before="240"/>
      </w:pPr>
      <w:r>
        <w:rPr>
          <w:b/>
          <w:bCs/>
          <w:color w:val="2E74B5"/>
          <w:sz w:val="24"/>
          <w:szCs w:val="24"/>
        </w:rPr>
        <w:t xml:space="preserve">4.2 广发证券自2026年9月2日起开展寒武纪科创板做市交易</w:t>
      </w:r>
    </w:p>
    <w:p>
      <w:pPr>
        <w:spacing w:after="160" w:line="300"/>
      </w:pPr>
      <w:r>
        <w:rPr>
          <w:sz w:val="22"/>
          <w:szCs w:val="22"/>
        </w:rPr>
        <w:t xml:space="preserve">上海证券交易所于2026年9月1日发布公告，经广发证券备案申请，自2026年9月2日起对寒武纪（688256）开展做市交易业务。该事项属于交易机制和流动性安排，可能改善部分时段的双边报价和交易连续性，但不代表公司基本面、盈利预测、估值、订单、融资或业务合作发生变化。</w:t>
      </w:r>
    </w:p>
    <w:p>
      <w:pPr>
        <w:pStyle w:val="Heading2"/>
        <w:spacing w:after="120" w:before="240"/>
      </w:pPr>
      <w:r>
        <w:rPr>
          <w:b/>
          <w:bCs/>
          <w:color w:val="2E74B5"/>
          <w:sz w:val="24"/>
          <w:szCs w:val="24"/>
        </w:rPr>
        <w:t xml:space="preserve">4.3 2026年限制性股票激励计划完成首次授予相关程序</w:t>
      </w:r>
    </w:p>
    <w:p>
      <w:pPr>
        <w:spacing w:after="160" w:line="300"/>
      </w:pPr>
      <w:r>
        <w:rPr>
          <w:sz w:val="22"/>
          <w:szCs w:val="22"/>
        </w:rPr>
        <w:t xml:space="preserve">公司于2026年7月28日审议限制性股票激励计划，并于2026年8月18日披露相关调整及首次授予公告。本次计划拟授予限制性股票500万股，约占公告时公司股本总额62,829.2969万股的0.80%；其中首次授予400万股，预留100万股。首次授予激励对象为945人，首次授予价格为49.40元/股。后续需关注股份归属条件、业绩考核要求及股份支付费用影响。</w:t>
      </w:r>
    </w:p>
    <w:p>
      <w:pPr>
        <w:pStyle w:val="Heading2"/>
        <w:spacing w:after="120" w:before="240"/>
      </w:pPr>
      <w:r>
        <w:rPr>
          <w:b/>
          <w:bCs/>
          <w:color w:val="2E74B5"/>
          <w:sz w:val="24"/>
          <w:szCs w:val="24"/>
        </w:rPr>
        <w:t xml:space="preserve">4.4 2023年限制性股票激励计划部分股份归属上市</w:t>
      </w:r>
    </w:p>
    <w:p>
      <w:pPr>
        <w:spacing w:after="160" w:line="300"/>
      </w:pPr>
      <w:r>
        <w:rPr>
          <w:sz w:val="22"/>
          <w:szCs w:val="22"/>
        </w:rPr>
        <w:t xml:space="preserve">公司于2026年8月18日披露2023年限制性股票激励计划预留授予部分第一个归属期归属结果暨股份上市公告。该事项将增加公司流通股份，但公开检索摘要未完整披露本次实际归属上市股份数量，具体归属股数存在数据缺失，应以公司或上海证券交易所公告原文为准。</w:t>
      </w:r>
    </w:p>
    <w:p>
      <w:pPr>
        <w:pStyle w:val="Heading2"/>
        <w:spacing w:after="120" w:before="240"/>
      </w:pPr>
      <w:r>
        <w:rPr>
          <w:b/>
          <w:bCs/>
          <w:color w:val="2E74B5"/>
          <w:sz w:val="24"/>
          <w:szCs w:val="24"/>
        </w:rPr>
        <w:t xml:space="preserve">4.5 9月出现大宗交易，交易对手方及是否涉及重要股东减持尚未明确</w:t>
      </w:r>
    </w:p>
    <w:p>
      <w:pPr>
        <w:spacing w:after="160" w:line="300"/>
      </w:pPr>
      <w:r>
        <w:rPr>
          <w:sz w:val="22"/>
          <w:szCs w:val="22"/>
        </w:rPr>
        <w:t xml:space="preserve">公开行情资料显示，截至2026年9月10日，公司发生1笔大宗交易，成交量3000股，成交均价1043.84元，成交金额约313.2万元，折溢价率为0%；截至2026年9月11日，公开资料显示发生6笔大宗交易，合计成交19.46万股，成交金额约2.024亿元。现有资料未披露买卖双方身份，也未发现其与控股股东、实际控制人或持股5%以上股东减持计划存在明确对应关系，不能直接认定为重要股东减持。</w:t>
      </w:r>
    </w:p>
    <w:p>
      <w:pPr>
        <w:pStyle w:val="Heading2"/>
        <w:spacing w:after="120" w:before="240"/>
      </w:pPr>
      <w:r>
        <w:rPr>
          <w:b/>
          <w:bCs/>
          <w:color w:val="2E74B5"/>
          <w:sz w:val="24"/>
          <w:szCs w:val="24"/>
        </w:rPr>
        <w:t xml:space="preserve">4.6 前十大股东及部分股东持股发生变化</w:t>
      </w:r>
    </w:p>
    <w:p>
      <w:pPr>
        <w:spacing w:after="160" w:line="300"/>
      </w:pPr>
      <w:r>
        <w:rPr>
          <w:sz w:val="22"/>
          <w:szCs w:val="22"/>
        </w:rPr>
        <w:t xml:space="preserve">截至2026年6月30日，半年报披露前十大股东中，陈天石持股约1.781亿股，持股比例28.35%；北京中科算源资产管理有限公司持股约9784.79万股，持股比例15.57%；北京艾溪科技中心（有限合伙）持股约4566.23万股，持股比例7.27%。公开媒体整理显示，张炜在2026年二季度增持约434.37万股，截至2026年6月30日持股约745万股，持股比例约1.19%；香港中央结算有限公司持股约2201.8万股，较一季度末增加约1128.03万股。上述变化不等同于公司发布的股东增持计划公告，具体应以公司定期报告及中国结算口径为准。</w:t>
      </w:r>
    </w:p>
    <w:p>
      <w:pPr>
        <w:pStyle w:val="Heading2"/>
        <w:spacing w:after="120" w:before="240"/>
      </w:pPr>
      <w:r>
        <w:rPr>
          <w:b/>
          <w:bCs/>
          <w:color w:val="2E74B5"/>
          <w:sz w:val="24"/>
          <w:szCs w:val="24"/>
        </w:rPr>
        <w:t xml:space="preserve">4.7 2025年度利润分配及资本公积金转增股本已实施</w:t>
      </w:r>
    </w:p>
    <w:p>
      <w:pPr>
        <w:spacing w:after="160" w:line="300"/>
      </w:pPr>
      <w:r>
        <w:rPr>
          <w:sz w:val="22"/>
          <w:szCs w:val="22"/>
        </w:rPr>
        <w:t xml:space="preserve">公司2026年半年度报告披露，2025年度合计派发现金股利约6.32亿元（含税），以资本公积金向全体股东每10股转增4.9股，合计转增股份约2.0661亿股。权益分派实施后，公司总股本增至约6.2829亿股。该事项已于2026年5月实施，将影响每股收益、每股净资产、股价除权及历史股东持股数量的可比性。</w:t>
      </w:r>
    </w:p>
    <w:p>
      <w:pPr>
        <w:pStyle w:val="Heading2"/>
        <w:spacing w:after="120" w:before="240"/>
      </w:pPr>
      <w:r>
        <w:rPr>
          <w:b/>
          <w:bCs/>
          <w:color w:val="2E74B5"/>
          <w:sz w:val="24"/>
          <w:szCs w:val="24"/>
        </w:rPr>
        <w:t xml:space="preserve">4.8 2026年8月20日存在限售股解禁</w:t>
      </w:r>
    </w:p>
    <w:p>
      <w:pPr>
        <w:spacing w:after="160" w:line="300"/>
      </w:pPr>
      <w:r>
        <w:rPr>
          <w:sz w:val="22"/>
          <w:szCs w:val="22"/>
        </w:rPr>
        <w:t xml:space="preserve">公开行情日历显示，公司于2026年8月20日有约59.76万股限售股上市流通。现有资料未显示相关股东在解禁后是否实际减持，因此该事项只能视为潜在供给增加，不能直接认定为减持行为。</w:t>
      </w:r>
    </w:p>
    <w:p>
      <w:pPr>
        <w:pStyle w:val="Heading2"/>
        <w:spacing w:after="120" w:before="240"/>
      </w:pPr>
      <w:r>
        <w:rPr>
          <w:b/>
          <w:bCs/>
          <w:color w:val="2E74B5"/>
          <w:sz w:val="24"/>
          <w:szCs w:val="24"/>
        </w:rPr>
        <w:t xml:space="preserve">4.9 截至2026年9月13日未发现新的股份回购公告</w:t>
      </w:r>
    </w:p>
    <w:p>
      <w:pPr>
        <w:spacing w:after="160" w:line="300"/>
      </w:pPr>
      <w:r>
        <w:rPr>
          <w:sz w:val="22"/>
          <w:szCs w:val="22"/>
        </w:rPr>
        <w:t xml:space="preserve">截至2026年9月13日，按相关关键词检索，未发现公司在2026年9月新披露股份回购方案、回购进展或回购注销公告。2026年半年度报告披露，2025年度利润分配的转增基数扣除了回购专用证券账户中的股份36,600股；该信息仅说明公司存在少量回购专用账户股份，不能据此推断2026年9月存在新的回购操作。</w:t>
      </w:r>
    </w:p>
    <w:p>
      <w:pPr>
        <w:pStyle w:val="Heading2"/>
        <w:spacing w:after="120" w:before="240"/>
      </w:pPr>
      <w:r>
        <w:rPr>
          <w:b/>
          <w:bCs/>
          <w:color w:val="2E74B5"/>
          <w:sz w:val="24"/>
          <w:szCs w:val="24"/>
        </w:rPr>
        <w:t xml:space="preserve">4.10 截至2026年9月13日未披露新的业绩预告或业绩快报</w:t>
      </w:r>
    </w:p>
    <w:p>
      <w:pPr>
        <w:spacing w:after="160" w:line="300"/>
      </w:pPr>
      <w:r>
        <w:rPr>
          <w:sz w:val="22"/>
          <w:szCs w:val="22"/>
        </w:rPr>
        <w:t xml:space="preserve">截至2026年9月13日，未检索到公司针对2026年第三季度或2026年度发布新的业绩预告、业绩快报或盈利预测修正公告。最近的正式业绩信息为2026年8月8日披露的半年度报告，上半年已实现业绩不属于未来业绩预告，也不能直接视为公司全年官方指引。</w:t>
      </w:r>
    </w:p>
    <w:p>
      <w:pPr>
        <w:pStyle w:val="Heading2"/>
        <w:spacing w:after="120" w:before="240"/>
      </w:pPr>
      <w:r>
        <w:rPr>
          <w:b/>
          <w:bCs/>
          <w:color w:val="2E74B5"/>
          <w:sz w:val="24"/>
          <w:szCs w:val="24"/>
        </w:rPr>
        <w:t xml:space="preserve">4.11 原副总经理劳动关系及股权激励损失诉讼尚未开庭</w:t>
      </w:r>
    </w:p>
    <w:p>
      <w:pPr>
        <w:spacing w:after="160" w:line="300"/>
      </w:pPr>
      <w:r>
        <w:rPr>
          <w:sz w:val="22"/>
          <w:szCs w:val="22"/>
        </w:rPr>
        <w:t xml:space="preserve">公司2026年半年度报告披露，原告为公司原副总经理梁军，诉讼请求包括确认2017年10月18日至2022年2月10日期间劳动关系，以及要求公司赔偿股权激励损失，公开披露的股权激励损失请求金额约为42.866亿元。截至2026年6月30日，案件已由法院立案受理，公司已收到起诉状副本，但尚未开庭审理。公司预计该诉讼对本期利润没有影响，期后影响需根据法院生效裁判结果进一步评估。原告请求金额不等于最终赔偿金额，也不代表公司已确认负债。</w:t>
      </w:r>
    </w:p>
    <w:p>
      <w:pPr>
        <w:pStyle w:val="Heading2"/>
        <w:spacing w:after="120" w:before="240"/>
      </w:pPr>
      <w:r>
        <w:rPr>
          <w:b/>
          <w:bCs/>
          <w:color w:val="2E74B5"/>
          <w:sz w:val="24"/>
          <w:szCs w:val="24"/>
        </w:rPr>
        <w:t xml:space="preserve">4.12 未检索到重大并购重组及2026年9月监管处罚公告</w:t>
      </w:r>
    </w:p>
    <w:p>
      <w:pPr>
        <w:spacing w:after="160" w:line="300"/>
      </w:pPr>
      <w:r>
        <w:rPr>
          <w:sz w:val="22"/>
          <w:szCs w:val="22"/>
        </w:rPr>
        <w:t xml:space="preserve">截至2026年9月13日，未检索到公司在2026年9月新披露重大资产购买、出售、并购重组或对外重大投资公告。近期监管及交易机制相关事项主要为新增广发证券做市交易，以及半年度报告和持续督导跟踪报告对募集资金、公司治理和股东及董监高持股情况的披露。截至目前，未检索到公司因信息披露违规、监管措施、纪律处分或立案调查而发布的2026年9月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股票识别</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688256，寒武纪，中科寒武纪科技股份有限公司，上海证券交易所科创板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1040.00元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-3.84元/-0.37%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1020.99元/1047.33元/1006.00元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10.76万手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110.57亿元/1.71%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约6540.08亿元/约6540.08亿元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动态市盈率141.30倍，市盈率TTM 150.94倍，市净率48.20倍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950.00~1966.00元；52周高点约于2026年5月6日出现，52周低点为2026年8月24日近期盘中低点。该区间采用未复权价格口径，不同平台存在差异。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2026年8月17日至9月11日整体呈高位回落后的弱势震荡。9月4日至9月11日收盘价由1072.00元降至1040.00元，区间跌幅约3.0%；当前低于8月底反弹高点1112.18元及9月初1090~1100元区域。</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基于2026年9月11日前20个交易日收盘价自算：MA5约1058.03元，MA10约1079.13元，MA20约1065.02元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收盘价1040.00元低于三条均线，短线仍处于均线压制之下；MA5低于MA10，MA10高于MA20，体现为弱势反弹后的回落结构。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Investing公开均线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MA5约1026.91元，MA10约1035.87元，MA20约1049.24元，MA50约1077.06元，MA100约1065.11元，MA200约1111.01元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该组指标与历史收盘价自算结果存在明显差异，可能与刷新时点、复权方式或计算窗口有关，不与自算均线混合使用；MA50及MA200位于1077元和1111元附近，构成上方反弹压力参考。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约-14.12；Investing评级为“卖出”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MACD处于负值区域，中短期趋势动能尚未完全转强；截至2026年9月11日，尚未形成明确趋势反转确认。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约39.07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Investing技术页面将综合技术指标评级为卖出或强力卖出，移动平均线综合评级为卖出；ADX具体方向性含义需结合价格趋势共同观察。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约47.43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处于中性区域，未进入30以下传统超卖区，也未进入70以上强势或超买区，单凭RSI不足以判断短线底部已经确立。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中轨约1065.02元，20日标准差约47.90元，上轨约1160.82元，下轨约969.22元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收盘价1040.00元位于中轨下方、下轨上方，尚未触及下轨；若跌破1000元并接近969~970元区域，可能重新测试950元阶段低点。该指标为基于公开收盘价的自算值。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2026年9月11日超大单净流入2.0896亿元，大单净流出1.4995亿元，中单净流出5643.46万元，小单净流出257.83万元；超大单与大单合计净流入约5901万元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超大单与大单方向相反，资金结构存在分歧，不能简单解读为一致性增量资金进入。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近5个交易日资金流向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2026年9月7日至9月11日，超大单合计净流入约8350万元，大单合计净流入约1.79亿元，合计约2.63亿元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9月8日和9月9日超大单连续明显净流出，9月10日和9月11日转为净流入，更接近高波动下的阶段性回补，而非连续稳定的单边流入。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近期成交特征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9月7日至9月11日成交额约59.39~110.57亿元，换手率约0.90%~1.71%；5个交易日平均成交额约88.45亿元，平均换手率约1.33%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9月11日成交额及换手率较9月9日至10日明显放大，但收盘仍下跌0.37%，显示多空分歧较大，暂不能视为明确的向上突破量价信号。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大宗交易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2026年9月11日发生6笔大宗交易，合计成交金额约2.02亿元，成交价为1040元，买方以机构专用席位为主</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金额相对全天110.57亿元成交额占比不高，更多反映机构间调仓或协议交易，不能直接等同于二级市场持续买入。</w:t>
            </w:r>
          </w:p>
        </w:tc>
      </w:tr>
    </w:tbl>
    <w:p>
      <w:pPr>
        <w:spacing w:before="200"/>
      </w:pPr>
    </w:p>
    <w:p>
      <w:pPr>
        <w:spacing w:after="160" w:line="300"/>
      </w:pPr>
      <w:r>
        <w:rPr>
          <w:sz w:val="22"/>
          <w:szCs w:val="22"/>
        </w:rPr>
        <w:t xml:space="preserve">寒武纪截至2026年9月11日收于1040.00元，处于52周高点1966.00元大幅回撤后、52周低点950.00元上方的弱势震荡区间。收盘价低于自算MA5、MA10和MA20及布林中轨，MACD仍为负值，RSI处于中性区域，技术面尚未形成明确反转确认。短线价格结构上，1065~1080元为首要反弹压力，1090~1120元为更强压力区；1000~1015元为第一支撑，950~970元为强支撑。9月11日成交额放大至110.57亿元，但超大单与大单资金方向分化，放量尚未得到价格向上突破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1065~1080元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1065元附近对应自算MA20，1077元附近对应Investing公开MA50，并接近9月初短线整理区域；若反弹至该区间但成交额不能持续放大，可能继续出现技术性冲高回落。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1090~1120元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对应9月7日收盘价1092.38元、9月初高点及近期成交密集区，1120元附近接近9月4日盘中高点；若有效突破并站稳，短线弱势结构才可能得到一定修复。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1000~1015元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1000元为整数心理关口，1010元附近接近8月25日及9月11日的价格支撑区域；若跌破该区间，可能向布林下轨附近运行。</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950~970元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970元附近对应自算布林下轨，950元对应8月24日阶段低点；若该区域被有效跌破，短线可能打开向更低平台寻找支撑的空间。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该权重为基于当前技术面和资金流向的主观判断，并非统计概率）：观察区间为1000~1080元。触发条件包括守住1000~1015元区域，成交额维持约70~110亿元，MA20附近反复争夺但未有效突破，且半导体及算力板块未出现明显单边下跌。后续方向重点取决于1065~1080元压力区能否放量突破。</w:t>
      </w:r>
    </w:p>
    <w:p>
      <w:pPr>
        <w:pStyle w:val="ListParagraph"/>
        <w:numPr>
          <w:ilvl w:val="0"/>
          <w:numId w:val="2"/>
        </w:numPr>
        <w:spacing w:after="80" w:line="280"/>
      </w:pPr>
      <w:r>
        <w:rPr>
          <w:sz w:val="22"/>
          <w:szCs w:val="22"/>
        </w:rPr>
        <w:t xml:space="preserve">偏弱下行（权重中等，约三成；该权重为基于当前技术面和资金流向的主观判断，并非统计概率）：观察区间为950~1015元。触发条件包括收盘价有效跌破1000元，成交额放大但价格继续收低，超大单及大单资金重新连续净流出，或半导体及高估值科技股板块同步走弱。第一观察区域为970元附近布林下轨，若失守则可能进一步测试950元近期低点；跌破950元后技术结构将明显转弱。</w:t>
      </w:r>
    </w:p>
    <w:p>
      <w:pPr>
        <w:pStyle w:val="ListParagraph"/>
        <w:numPr>
          <w:ilvl w:val="0"/>
          <w:numId w:val="2"/>
        </w:numPr>
        <w:spacing w:after="80" w:line="280"/>
      </w:pPr>
      <w:r>
        <w:rPr>
          <w:sz w:val="22"/>
          <w:szCs w:val="22"/>
        </w:rPr>
        <w:t xml:space="preserve">反弹走强（权重偏低，约一成至两成；该权重为基于当前技术面和资金流向的主观判断，并非统计概率）：观察区间为1080~1120元，强势时观察至1140~1170元。触发条件包括重新站上1065~1080元，成交额连续放大至120亿元以上，超大单和大单资金连续净流入，半导体、算力或国产AI芯片板块同步走强，以及MACD负值收敛并出现明确金叉或柱体持续改善。若放量突破1090~1120元，反弹空间才可能扩大至1140~1170元区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5个交易日成交额约59.39~110.57亿元，换手率约0.90%~1.71%，平均成交额约88.45亿元、平均换手率约1.33%；总市值约6540.08亿元，绝对成交流动性较强，不属于低流动性小盘股，但相对于其超大市值，近期换手率并不高，筹码交换比例有限。股东数据截至2026年6月30日、公告日期为2026年8月8日：前十大股东合计持股约3.70亿股，占总股本约58.95%；前三名自然人或关联资产管理平台合计持股约51.2%，集中度较高。前十大股东中包括香港中央结算有限公司及华夏上证科创板50ETF、嘉实上证科创板芯片ETF、易方达上证科创板50ETF，说明存在指数化及机构资金配置，但ETF合计持股比例相对有限，不能据此判断公募机构形成一致性重仓。由于股东数据距行情日已有两个多月，期间筹码结构可能发生变化，仅适合作为中期背景参考。实际交易中，较高集中度可能意味着流通筹码交换有限；但当前成交额规模较大，不能据此推断存在低流动性小盘股的典型薄订单簿特征。</w:t>
      </w:r>
    </w:p>
    <w:p>
      <w:pPr>
        <w:spacing w:after="160" w:line="300"/>
      </w:pPr>
      <w:r>
        <w:rPr>
          <w:sz w:val="22"/>
          <w:szCs w:val="22"/>
        </w:rPr>
        <w:t xml:space="preserve">基于近期成交额约88亿元的均值，若未来一周单日成交额达到120亿元以上并连续两个交易日维持，同时收盘价站上1065~1080元，可作为短线反弹获得量价确认的观察信号；若成交额达到120亿元以上但收盘跌破1000元，则更接近放量释放风险，而非上涨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观察思路，非操作指令：关注1000~1015元支撑是否有效，若失守则观察970元及950元附近的承接情况。</w:t>
      </w:r>
    </w:p>
    <w:p>
      <w:pPr>
        <w:pStyle w:val="ListParagraph"/>
        <w:numPr>
          <w:ilvl w:val="0"/>
          <w:numId w:val="2"/>
        </w:numPr>
        <w:spacing w:after="80" w:line="280"/>
      </w:pPr>
      <w:r>
        <w:rPr>
          <w:sz w:val="22"/>
          <w:szCs w:val="22"/>
        </w:rPr>
        <w:t xml:space="preserve">观察思路，非操作指令：反弹首先观察1065~1080元均线压力，进一步观察1090~1120元强压力区。</w:t>
      </w:r>
    </w:p>
    <w:p>
      <w:pPr>
        <w:pStyle w:val="ListParagraph"/>
        <w:numPr>
          <w:ilvl w:val="0"/>
          <w:numId w:val="2"/>
        </w:numPr>
        <w:spacing w:after="80" w:line="280"/>
      </w:pPr>
      <w:r>
        <w:rPr>
          <w:sz w:val="22"/>
          <w:szCs w:val="22"/>
        </w:rPr>
        <w:t xml:space="preserve">观察思路，非操作指令：关注成交额能否连续达到120亿元以上并与价格站上1065~1080元同步，避免仅依据单日放量判断趋势反转。</w:t>
      </w:r>
    </w:p>
    <w:p>
      <w:pPr>
        <w:pStyle w:val="ListParagraph"/>
        <w:numPr>
          <w:ilvl w:val="0"/>
          <w:numId w:val="2"/>
        </w:numPr>
        <w:spacing w:after="80" w:line="280"/>
      </w:pPr>
      <w:r>
        <w:rPr>
          <w:sz w:val="22"/>
          <w:szCs w:val="22"/>
        </w:rPr>
        <w:t xml:space="preserve">观察思路，非操作指令：关注超大单和大单资金能否连续净流入，以及股东集中度数据截至2026年6月30日的滞后性。</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人工智能芯片行业处于快速发展和技术路线持续演进阶段，尚未形成单一架构在训练、推理、边缘和终端等所有场景全面占优的格局。行业竞争不仅围绕芯片算力性能，还涉及内存容量与带宽、先进制程和封装、软件工具链、主流AI框架及大模型适配、客户验证、量产交付以及服务器厂商和开发者生态。研究纪要指出，全球人工智能芯片市场中英伟达仍处于明显领先地位，国内则有多家传统芯片企业和AI芯片初创企业参与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全球GPU和加速计算平台厂商：以英伟达、AMD为代表，覆盖芯片、软件、网络及服务器级系统能力。</w:t>
      </w:r>
    </w:p>
    <w:p>
      <w:pPr>
        <w:pStyle w:val="ListParagraph"/>
        <w:numPr>
          <w:ilvl w:val="0"/>
          <w:numId w:val="2"/>
        </w:numPr>
        <w:spacing w:after="80" w:line="280"/>
      </w:pPr>
      <w:r>
        <w:rPr>
          <w:sz w:val="22"/>
          <w:szCs w:val="22"/>
        </w:rPr>
        <w:t xml:space="preserve">国内平台型企业：以华为昇腾为代表，覆盖AI处理器、Atlas模块、板卡、服务器、集群及端边云行业解决方案。</w:t>
      </w:r>
    </w:p>
    <w:p>
      <w:pPr>
        <w:pStyle w:val="ListParagraph"/>
        <w:numPr>
          <w:ilvl w:val="0"/>
          <w:numId w:val="2"/>
        </w:numPr>
        <w:spacing w:after="80" w:line="280"/>
      </w:pPr>
      <w:r>
        <w:rPr>
          <w:sz w:val="22"/>
          <w:szCs w:val="22"/>
        </w:rPr>
        <w:t xml:space="preserve">国内上市芯片设计企业：包括寒武纪、海光信息、景嘉微等，分别在AI加速器、CPU/DCU、图形及AI算力芯片等领域竞争。</w:t>
      </w:r>
    </w:p>
    <w:p>
      <w:pPr>
        <w:pStyle w:val="ListParagraph"/>
        <w:numPr>
          <w:ilvl w:val="0"/>
          <w:numId w:val="2"/>
        </w:numPr>
        <w:spacing w:after="80" w:line="280"/>
      </w:pPr>
      <w:r>
        <w:rPr>
          <w:sz w:val="22"/>
          <w:szCs w:val="22"/>
        </w:rPr>
        <w:t xml:space="preserve">国内AI芯片初创企业：包括壁仞科技、沐曦、摩尔线程等，部分企业尚未形成与寒武纪完全可比的公开财务口径。</w:t>
      </w:r>
    </w:p>
    <w:p>
      <w:pPr>
        <w:pStyle w:val="ListParagraph"/>
        <w:numPr>
          <w:ilvl w:val="0"/>
          <w:numId w:val="2"/>
        </w:numPr>
        <w:spacing w:after="80" w:line="280"/>
      </w:pPr>
      <w:r>
        <w:rPr>
          <w:sz w:val="22"/>
          <w:szCs w:val="22"/>
        </w:rPr>
        <w:t xml:space="preserve">行业核心竞争要素包括芯片架构和算力性能、内存容量和带宽、先进制程及封装能力、软件开发工具链、AI框架及大模型适配能力、客户验证和量产交付能力，以及生态伙伴、服务器厂商和开发者数量。</w:t>
      </w:r>
    </w:p>
    <w:p>
      <w:pPr>
        <w:pStyle w:val="ListParagraph"/>
        <w:numPr>
          <w:ilvl w:val="0"/>
          <w:numId w:val="2"/>
        </w:numPr>
        <w:spacing w:after="80" w:line="280"/>
      </w:pPr>
      <w:r>
        <w:rPr>
          <w:sz w:val="22"/>
          <w:szCs w:val="22"/>
        </w:rPr>
        <w:t xml:space="preserve">寒武纪的主要机会集中在国产化替代、国内供应链安全和本土客户适配；主要约束包括与全球及国内平台型企业竞争、软件生态建设、先进制造资源获取和大客户集中度。</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华为昇腾</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国内端、边、云全场景AI计算平台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覆盖AI处理器、Atlas模块、板卡、服务器和集群，具有芯片、服务器、网络、操作系统、云服务和行业解决方案的全栈协同优势；寒武纪更聚焦智能芯片及配套基础软件设计。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英伟达</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全球AI加速计算龙头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覆盖数据中心GPU、网络、软件和完整AI基础设施，竞争优势包括CUDA、软件工具链、开发者生态、网络互联和整机系统；是寒武纪高端云端训练和推理市场的全球标杆竞争者。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海光信息（688041）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国产高端处理器和加速计算产品企业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同时覆盖服务器CPU和DCU，并通过DTK软件栈推进软硬件生态；寒武纪更聚焦AI专用智能处理器、云边端芯片和配套软件。</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景嘉微（300474）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国产GPU、图形处理及AI算智产品企业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产品包括图形处理芯片、AI算智产品、专业图形加速产品、桌面级图形加速产品和智能SoC；与寒武纪存在部分AI加速、图形计算和国产GPU市场交集，但并非完全同质化竞争。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AMD</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全球数据中心CPU、GPU和AI加速器厂商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产品与寒武纪云端智能芯片存在技术和市场对标关系，但拥有成熟的全球客户、软件和服务器生态；A股市场没有AMD对应的直接上市主体，更适合作为全球技术和竞争格局参照。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壁仞科技、沐曦、摩尔线程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国内AI芯片初创企业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与寒武纪在AI芯片及加速计算领域存在竞争关系，但部分企业尚未形成与寒武纪完全可比的公开财务口径。</w:t>
            </w:r>
          </w:p>
        </w:tc>
      </w:tr>
    </w:tbl>
    <w:p>
      <w:pPr>
        <w:spacing w:before="200"/>
      </w:pPr>
    </w:p>
    <w:p>
      <w:pPr>
        <w:spacing w:after="160" w:line="300"/>
      </w:pPr>
      <w:r>
        <w:rPr>
          <w:sz w:val="22"/>
          <w:szCs w:val="22"/>
        </w:rPr>
        <w:t xml:space="preserve">寒武纪与华为昇腾、英伟达、AMD、海光信息和景嘉微存在产品或应用场景交集，但各公司的产品范围、商业模式和垂直整合程度不同。寒武纪的特点是聚焦AI专用智能处理器、云边端芯片和配套基础软件，采用Fabless模式，商业模式相对轻资产；相较华为和英伟达，其系统级资源、网络及服务器整合能力和软件生态成熟度较弱；相较海光信息，其产品更集中于AI专用芯片而非CPU与DCU协同；相较景嘉微，则更偏向数据中心AI训练和推理及统一基础软件生态。上述可比关系属于业务和产业链层面的可比，不代表财务口径完全可比。</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务结构高度集中于云端产品线：2025年云端产品线收入占主营业务收入约99.7%，边缘产品线收入同比下降48.12%，IP授权及软件收入规模较小，若数据中心或大模型训练推理需求、头部客户采购节奏或云端产品迭代不及预期，公司整体业绩可能受到明显影响。</w:t>
      </w:r>
    </w:p>
    <w:p>
      <w:pPr>
        <w:pStyle w:val="ListParagraph"/>
        <w:numPr>
          <w:ilvl w:val="0"/>
          <w:numId w:val="2"/>
        </w:numPr>
        <w:spacing w:after="80" w:line="280"/>
      </w:pPr>
      <w:r>
        <w:rPr>
          <w:sz w:val="22"/>
          <w:szCs w:val="22"/>
        </w:rPr>
        <w:t xml:space="preserve">客户集中度较高：2025年前五大客户销售额占比88.66%，大型客户具有较强议价能力，且客户名称未完整公开列示。若主要客户发生订单延后、产品路线调整、供应商切换或采购规模波动，可能对收入确认和毛利率造成较大影响。</w:t>
      </w:r>
    </w:p>
    <w:p>
      <w:pPr>
        <w:pStyle w:val="ListParagraph"/>
        <w:numPr>
          <w:ilvl w:val="0"/>
          <w:numId w:val="2"/>
        </w:numPr>
        <w:spacing w:after="80" w:line="280"/>
      </w:pPr>
      <w:r>
        <w:rPr>
          <w:sz w:val="22"/>
          <w:szCs w:val="22"/>
        </w:rPr>
        <w:t xml:space="preserve">供应链集中度和外部依赖较高：公司采用Fabless模式，不拥有传统意义上的晶圆厂或自有晶圆生产线；2025年前五大供应商采购占比75.23%，第一大供应商占比55.34%。先进晶圆制造、封装测试、高端板卡及服务器配套的产能、良率、成本和交付变化，可能影响产品量产和盈利能力。</w:t>
      </w:r>
    </w:p>
    <w:p>
      <w:pPr>
        <w:pStyle w:val="ListParagraph"/>
        <w:numPr>
          <w:ilvl w:val="0"/>
          <w:numId w:val="2"/>
        </w:numPr>
        <w:spacing w:after="80" w:line="280"/>
      </w:pPr>
      <w:r>
        <w:rPr>
          <w:sz w:val="22"/>
          <w:szCs w:val="22"/>
        </w:rPr>
        <w:t xml:space="preserve">存货规模增长带来跌价和需求错配风险：截至2025年末存货账面价值49.44亿元，占期末资产总额36.79%，较2024年末增长178.67%，同期公司进行了较大规模备货。若芯片技术迭代、客户需求变化或产品销售不及预期，可能增加存货积压及减值压力。</w:t>
      </w:r>
    </w:p>
    <w:p>
      <w:pPr>
        <w:pStyle w:val="ListParagraph"/>
        <w:numPr>
          <w:ilvl w:val="0"/>
          <w:numId w:val="2"/>
        </w:numPr>
        <w:spacing w:after="80" w:line="280"/>
      </w:pPr>
      <w:r>
        <w:rPr>
          <w:sz w:val="22"/>
          <w:szCs w:val="22"/>
        </w:rPr>
        <w:t xml:space="preserve">现金流与盈利增长不匹配：2026年上半年归母净利润为23.11亿元、扣非归母净利润为21.66亿元，但经营活动现金流量净额为3.11亿元，同比下降65.83%。若应收回款、存货周转或客户结算条件未改善，可能影响业绩增长的现金实现质量。</w:t>
      </w:r>
    </w:p>
    <w:p>
      <w:pPr>
        <w:pStyle w:val="ListParagraph"/>
        <w:numPr>
          <w:ilvl w:val="0"/>
          <w:numId w:val="2"/>
        </w:numPr>
        <w:spacing w:after="80" w:line="280"/>
      </w:pPr>
      <w:r>
        <w:rPr>
          <w:sz w:val="22"/>
          <w:szCs w:val="22"/>
        </w:rPr>
        <w:t xml:space="preserve">估值处于高位且对增长兑现要求较高：截至2026年9月11日，公司滚动市盈率约150.94倍、市净率约48.20倍，机构对2026年收入和利润预测区间存在较大差异。若实际订单、产品放量、毛利率或现金流低于预期，估值波动可能被放大。</w:t>
      </w:r>
    </w:p>
    <w:p>
      <w:pPr>
        <w:pStyle w:val="ListParagraph"/>
        <w:numPr>
          <w:ilvl w:val="0"/>
          <w:numId w:val="2"/>
        </w:numPr>
        <w:spacing w:after="80" w:line="280"/>
      </w:pPr>
      <w:r>
        <w:rPr>
          <w:sz w:val="22"/>
          <w:szCs w:val="22"/>
        </w:rPr>
        <w:t xml:space="preserve">公司面临较强的国内外竞争压力：寒武纪在云端AI芯片及基础软件领域同时面对英伟达、AMD、华为昇腾、海光信息、景嘉微及其他国内AI芯片企业的竞争；相较部分平台型竞争者，公司在服务器、网络、系统整合和软件生态方面的协同能力相对弱，客户验证和开发者生态建设存在持续投入要求。</w:t>
      </w:r>
    </w:p>
    <w:p>
      <w:pPr>
        <w:pStyle w:val="ListParagraph"/>
        <w:numPr>
          <w:ilvl w:val="0"/>
          <w:numId w:val="2"/>
        </w:numPr>
        <w:spacing w:after="80" w:line="280"/>
      </w:pPr>
      <w:r>
        <w:rPr>
          <w:sz w:val="22"/>
          <w:szCs w:val="22"/>
        </w:rPr>
        <w:t xml:space="preserve">公司及部分子公司被列入美国“实体清单”，可能增加供应链切换和采购稳定性风险；同时，公司尚未拥有自有晶圆制造和封装测试产能，外部限制或供应商调整可能影响先进制造资源获取。</w:t>
      </w:r>
    </w:p>
    <w:p>
      <w:pPr>
        <w:pStyle w:val="ListParagraph"/>
        <w:numPr>
          <w:ilvl w:val="0"/>
          <w:numId w:val="2"/>
        </w:numPr>
        <w:spacing w:after="80" w:line="280"/>
      </w:pPr>
      <w:r>
        <w:rPr>
          <w:sz w:val="22"/>
          <w:szCs w:val="22"/>
        </w:rPr>
        <w:t xml:space="preserve">公司面临原副总经理梁军提起的劳动关系及股权激励损失诉讼，公开披露的股权激励损失请求金额约42.866亿元，案件截至2026年6月30日尚未开庭。该请求金额不等于最终赔偿金额，公司也未确认相关负债，但后续裁判结果可能对公司产生影响。</w:t>
      </w:r>
    </w:p>
    <w:p>
      <w:pPr>
        <w:pStyle w:val="ListParagraph"/>
        <w:numPr>
          <w:ilvl w:val="0"/>
          <w:numId w:val="2"/>
        </w:numPr>
        <w:spacing w:after="80" w:line="280"/>
      </w:pPr>
      <w:r>
        <w:rPr>
          <w:sz w:val="22"/>
          <w:szCs w:val="22"/>
        </w:rPr>
        <w:t xml:space="preserve">截至2026年9月11日，股价仍低于自算MA5、MA10、MA20及布林中轨，MACD处于负值区域；若1000~1015元支撑失守，技术上可能进一步观察970元及950元附近区域。该技术风险与大宗交易、限售股解禁及股东持股变化叠加时，可能加剧短期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寒武纪当前的核心增长逻辑在于云端AI芯片及板卡需求扩大、国产化替代和本土客户适配，以及芯片与基础软件协同带来的客户黏性。2026年上半年扣非归母净利润增速高于归母净利润增速，说明阶段性利润增长主要来自主营业务；若后续产品迭代、客户验证、量产交付和软件生态建设能够延续，规模效应仍可能支持收入和利润增长。</w:t>
      </w:r>
    </w:p>
    <w:p>
      <w:pPr>
        <w:spacing w:after="160" w:line="300"/>
      </w:pPr>
      <w:r>
        <w:rPr>
          <w:sz w:val="22"/>
          <w:szCs w:val="22"/>
        </w:rPr>
        <w:t xml:space="preserve">市场机构对2026年业绩普遍给出较高预期，但预测区间差异较大，2026年归母净利润预测约为52.20亿至71.71亿元，收入预测约为155.83亿至197.97亿元，相关预测并非公司官方指引。当前高估值能否由业绩消化，取决于订单兑现、产品放量、毛利率稳定、供应链保障和现金流改善；2026年上半年经营现金流下降，以及较高存货规模，说明增长质量仍需持续观察。</w:t>
      </w:r>
    </w:p>
    <w:p>
      <w:pPr>
        <w:spacing w:after="160" w:line="300"/>
      </w:pPr>
      <w:r>
        <w:rPr>
          <w:sz w:val="22"/>
          <w:szCs w:val="22"/>
        </w:rPr>
        <w:t xml:space="preserve">公司短期股价仍处于技术修复未确认阶段，成交额放大但资金方向存在分歧，暂未形成明确的量价反转信号。后续应重点跟踪云端产品收入与毛利率、客户集中度变化、存货及应收账款回收、经营现金流、先进制造与封装资源获取，以及诉讼和股权激励相关事项的进展。</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中科寒武纪科技股份有限公司2024年年度报告 — https://big5.sse.com.cn/site/cht/www.sse.com.cn/disclosure/listedinfo/announcement/c/new/2025-04-19/688256_20250419_11FJ.pdf</w:t>
      </w:r>
    </w:p>
    <w:p>
      <w:pPr>
        <w:spacing w:after="200"/>
      </w:pPr>
      <w:r>
        <w:rPr>
          <w:i/>
          <w:iCs/>
          <w:color w:val="595959"/>
          <w:sz w:val="18"/>
          <w:szCs w:val="18"/>
        </w:rPr>
        <w:t xml:space="preserve">关于我们 - 寒武纪 — https://cambricon.com/index.php?a=lists&amp;c=index&amp;catid=7&amp;m=content</w:t>
      </w:r>
    </w:p>
    <w:p>
      <w:pPr>
        <w:spacing w:after="200"/>
      </w:pPr>
      <w:r>
        <w:rPr>
          <w:i/>
          <w:iCs/>
          <w:color w:val="595959"/>
          <w:sz w:val="18"/>
          <w:szCs w:val="18"/>
        </w:rPr>
        <w:t xml:space="preserve">公司公告_寒武纪：2025年年度报告新浪财经_新浪网 — https://vip.stock.finance.sina.com.cn/corp/view/vCB_AllBulletinDetail.php?id=11993143</w:t>
      </w:r>
    </w:p>
    <w:p>
      <w:pPr>
        <w:spacing w:after="200"/>
      </w:pPr>
      <w:r>
        <w:rPr>
          <w:i/>
          <w:iCs/>
          <w:color w:val="595959"/>
          <w:sz w:val="18"/>
          <w:szCs w:val="18"/>
        </w:rPr>
        <w:t xml:space="preserve">Cambricon NeuWare - 寒武纪 — https://www.cambricon.com/index.php?a=lists&amp;c=index&amp;catid=71&amp;m=content&amp;trk=public_profile_project-button&amp;utm_source=openai</w:t>
      </w:r>
    </w:p>
    <w:p>
      <w:pPr>
        <w:spacing w:after="200"/>
      </w:pPr>
      <w:r>
        <w:rPr>
          <w:i/>
          <w:iCs/>
          <w:color w:val="595959"/>
          <w:sz w:val="18"/>
          <w:szCs w:val="18"/>
        </w:rPr>
        <w:t xml:space="preserve">寒武纪(688256)_公司公告_寒武纪：2023年年度报告新浪财经_新浪网 — https://vip.stock.finance.sina.com.cn/corp/view/vCB_AllBulletinDetail.php?id=10164556&amp;stockid=688256&amp;utm_source=openai</w:t>
      </w:r>
    </w:p>
    <w:p>
      <w:pPr>
        <w:spacing w:after="200"/>
      </w:pPr>
      <w:r>
        <w:rPr>
          <w:i/>
          <w:iCs/>
          <w:color w:val="595959"/>
          <w:sz w:val="18"/>
          <w:szCs w:val="18"/>
        </w:rPr>
        <w:t xml:space="preserve">昇腾计算-华为Ascend-AI计算-华为企业业务 — https://e.huawei.com/cn/products/computing/ascend?utm_source=openai</w:t>
      </w:r>
    </w:p>
    <w:p>
      <w:pPr>
        <w:spacing w:after="200"/>
      </w:pPr>
      <w:r>
        <w:rPr>
          <w:i/>
          <w:iCs/>
          <w:color w:val="595959"/>
          <w:sz w:val="18"/>
          <w:szCs w:val="18"/>
        </w:rPr>
        <w:t xml:space="preserve">AI 推理时代的 NVIDIA 数据中心 — https://www.nvidia.cn/data-center/?utm_source=openai</w:t>
      </w:r>
    </w:p>
    <w:p>
      <w:pPr>
        <w:spacing w:after="200"/>
      </w:pPr>
      <w:r>
        <w:rPr>
          <w:i/>
          <w:iCs/>
          <w:color w:val="595959"/>
          <w:sz w:val="18"/>
          <w:szCs w:val="18"/>
        </w:rPr>
        <w:t xml:space="preserve">海光信息技术股份有限公司2025年半年度报告 — https://static.cninfo.com.cn/finalpage/2025-08-06/1224401320.PDF?utm_source=openai</w:t>
      </w:r>
    </w:p>
    <w:p>
      <w:pPr>
        <w:spacing w:after="200"/>
      </w:pPr>
      <w:r>
        <w:rPr>
          <w:i/>
          <w:iCs/>
          <w:color w:val="595959"/>
          <w:sz w:val="18"/>
          <w:szCs w:val="18"/>
        </w:rPr>
        <w:t xml:space="preserve">&lt;table id="e1"&gt; — https://static.sse.com.cn/stock/disclosure/announcement/c/202508/002078_20250827_OO1E.pdf?utm_source=openai</w:t>
      </w:r>
    </w:p>
    <w:p>
      <w:pPr>
        <w:spacing w:after="200"/>
      </w:pPr>
      <w:r>
        <w:rPr>
          <w:i/>
          <w:iCs/>
          <w:color w:val="595959"/>
          <w:sz w:val="18"/>
          <w:szCs w:val="18"/>
        </w:rPr>
        <w:t xml:space="preserve">寒武纪(688256)_公司公告_寒武纪：2025年年度报告摘要新浪财经_新浪网 — https://money.finance.sina.com.cn/corp/view/vCB_AllBulletinDetail.php?id=11993142&amp;stockid=688256&amp;utm_source=openai</w:t>
      </w:r>
    </w:p>
    <w:p>
      <w:pPr>
        <w:spacing w:after="200"/>
      </w:pPr>
      <w:r>
        <w:rPr>
          <w:i/>
          <w:iCs/>
          <w:color w:val="595959"/>
          <w:sz w:val="18"/>
          <w:szCs w:val="18"/>
        </w:rPr>
        <w:t xml:space="preserve">寒武纪(688256)_公司公告_寒武纪：2026年半年度报告新浪财经_新浪网 — https://money.finance.sina.com.cn/corp/view/vCB_AllBulletinDetail.php?id=12484346&amp;stockid=688256&amp;utm_source=openai</w:t>
      </w:r>
    </w:p>
    <w:p>
      <w:pPr>
        <w:spacing w:after="200"/>
      </w:pPr>
      <w:r>
        <w:rPr>
          <w:i/>
          <w:iCs/>
          <w:color w:val="595959"/>
          <w:sz w:val="18"/>
          <w:szCs w:val="18"/>
        </w:rPr>
        <w:t xml:space="preserve">寒武纪(688256)2026年半年报点评：2026上半年收入/利润翻倍增长 CSP客户成功拓展规模化训练场景__新浪财经_新浪网 — https://stock.finance.sina.com.cn/stock/go.php/vReport_Show/kind/search/rptid/839733373360/index.phtml</w:t>
      </w:r>
    </w:p>
    <w:p>
      <w:pPr>
        <w:spacing w:after="200"/>
      </w:pPr>
      <w:r>
        <w:rPr>
          <w:i/>
          <w:iCs/>
          <w:color w:val="595959"/>
          <w:sz w:val="18"/>
          <w:szCs w:val="18"/>
        </w:rPr>
        <w:t xml:space="preserve">寒武纪(688256) 盈利预测_F10_同花顺金融服务网 — https://basic.10jqka.com.cn/688256/worth.html</w:t>
      </w:r>
    </w:p>
    <w:p>
      <w:pPr>
        <w:spacing w:after="200"/>
      </w:pPr>
      <w:r>
        <w:rPr>
          <w:i/>
          <w:iCs/>
          <w:color w:val="595959"/>
          <w:sz w:val="18"/>
          <w:szCs w:val="18"/>
        </w:rPr>
        <w:t xml:space="preserve">盈利预测 — https://webf10.gw.com.cn/SH/B16/SH688256_B16.html?utm_source=openai</w:t>
      </w:r>
    </w:p>
    <w:p>
      <w:pPr>
        <w:spacing w:after="200"/>
      </w:pPr>
      <w:r>
        <w:rPr>
          <w:i/>
          <w:iCs/>
          <w:color w:val="595959"/>
          <w:sz w:val="18"/>
          <w:szCs w:val="18"/>
        </w:rPr>
        <w:t xml:space="preserve">盈利预测 — https://webf10.gw.com.cn/SH/B16/SH688256_B16.html</w:t>
      </w:r>
    </w:p>
    <w:p>
      <w:pPr>
        <w:spacing w:after="200"/>
      </w:pPr>
      <w:r>
        <w:rPr>
          <w:i/>
          <w:iCs/>
          <w:color w:val="595959"/>
          <w:sz w:val="18"/>
          <w:szCs w:val="18"/>
        </w:rPr>
        <w:t xml:space="preserve">高盛上调寒武纪目标价，如何把握国产芯片“寒武纪时刻”？芯片ETF景顺(159560)覆盖芯片核心产业链_新浪财经_新浪网 — https://finance.sina.com.cn/jjxw/2026-09-01/doc-iniqihzy3638896.shtml</w:t>
      </w:r>
    </w:p>
    <w:p>
      <w:pPr>
        <w:spacing w:after="200"/>
      </w:pPr>
      <w:r>
        <w:rPr>
          <w:i/>
          <w:iCs/>
          <w:color w:val="595959"/>
          <w:sz w:val="18"/>
          <w:szCs w:val="18"/>
        </w:rPr>
        <w:t xml:space="preserve">寒武纪 (688256)股票预测和分析师评级 - 富途牛牛 — https://www.futunn.com/stock/688256-SH/forecast?utm_source=openai</w:t>
      </w:r>
    </w:p>
    <w:p>
      <w:pPr>
        <w:spacing w:after="200"/>
      </w:pPr>
      <w:r>
        <w:rPr>
          <w:i/>
          <w:iCs/>
          <w:color w:val="595959"/>
          <w:sz w:val="18"/>
          <w:szCs w:val="18"/>
        </w:rPr>
        <w:t xml:space="preserve">寒武纪(688256)股票分析师一致预期_市场情绪_英为财情Investing.com — https://cn.investing.com/equities/cambricon-technologies-corp-ltd-consensus-estimates?utm_source=openai</w:t>
      </w:r>
    </w:p>
    <w:p>
      <w:pPr>
        <w:spacing w:after="200"/>
      </w:pPr>
      <w:r>
        <w:rPr>
          <w:i/>
          <w:iCs/>
          <w:color w:val="595959"/>
          <w:sz w:val="18"/>
          <w:szCs w:val="18"/>
        </w:rPr>
        <w:t xml:space="preserve">寒武纪 sh688256 的股票股价,行情,直播,新闻,财报,数据 - 爱股票 — https://stock.aigupiao.com/code/sh688256?utm_source=openai</w:t>
      </w:r>
    </w:p>
    <w:p>
      <w:pPr>
        <w:spacing w:after="200"/>
      </w:pPr>
      <w:r>
        <w:rPr>
          <w:i/>
          <w:iCs/>
          <w:color w:val="595959"/>
          <w:sz w:val="18"/>
          <w:szCs w:val="18"/>
        </w:rPr>
        <w:t xml:space="preserve">寒武纪(688256) - 股票行情 | 本源量化 — https://www.benyuanlz.com/stock?code=688256&amp;utm_source=openai</w:t>
      </w:r>
    </w:p>
    <w:p>
      <w:pPr>
        <w:spacing w:after="200"/>
      </w:pPr>
      <w:r>
        <w:rPr>
          <w:i/>
          <w:iCs/>
          <w:color w:val="595959"/>
          <w:sz w:val="18"/>
          <w:szCs w:val="18"/>
        </w:rPr>
        <w:t xml:space="preserve">单股调研 — https://www.ashare-dashboard.com/stocks?details=1&amp;ts_code=688256.SH&amp;utm_source=openai</w:t>
      </w:r>
    </w:p>
    <w:p>
      <w:pPr>
        <w:spacing w:after="200"/>
      </w:pPr>
      <w:r>
        <w:rPr>
          <w:i/>
          <w:iCs/>
          <w:color w:val="595959"/>
          <w:sz w:val="18"/>
          <w:szCs w:val="18"/>
        </w:rPr>
        <w:t xml:space="preserve">关于中科寒武纪科技股份有限公司人民币普通股股票科创板上市交易的公告 | 上海证券交易所 — https://www.sse.com.cn/disclosure/announcement/listing/ipo/c/c_20200717_78749873.shtml?utm_source=openai</w:t>
      </w:r>
    </w:p>
    <w:p>
      <w:pPr>
        <w:spacing w:after="200"/>
      </w:pPr>
      <w:r>
        <w:rPr>
          <w:i/>
          <w:iCs/>
          <w:color w:val="595959"/>
          <w:sz w:val="18"/>
          <w:szCs w:val="18"/>
        </w:rPr>
        <w:t xml:space="preserve">关于广发证券股份有限公司对科创板股票寒武纪开展做市交易业务的公告 | 上海证券交易所 — https://www.sse.com.cn/disclosure/diclosure/StarMarketMaker/c/c_20260901_10830952.shtml?utm_source=openai</w:t>
      </w:r>
    </w:p>
    <w:p>
      <w:pPr>
        <w:spacing w:after="200"/>
      </w:pPr>
      <w:r>
        <w:rPr>
          <w:i/>
          <w:iCs/>
          <w:color w:val="595959"/>
          <w:sz w:val="18"/>
          <w:szCs w:val="18"/>
        </w:rPr>
        <w:t xml:space="preserve">寒武纪_ 个股日历 _ 东方财富网_ 数据频道 — https://data.eastmoney.com/stockcalendar/688256.html?utm_source=openai</w:t>
      </w:r>
    </w:p>
    <w:p>
      <w:pPr>
        <w:spacing w:after="200"/>
      </w:pPr>
      <w:r>
        <w:rPr>
          <w:i/>
          <w:iCs/>
          <w:color w:val="595959"/>
          <w:sz w:val="18"/>
          <w:szCs w:val="18"/>
        </w:rPr>
        <w:t xml:space="preserve">中科寒武纪科技股份有限公司2026年半年度报告 — https://static.cninfo.com.cn/finalpage/2026-08-08/1225464969.PDF?utm_source=openai</w:t>
      </w:r>
    </w:p>
    <w:p>
      <w:pPr>
        <w:spacing w:after="200"/>
      </w:pPr>
      <w:r>
        <w:rPr>
          <w:i/>
          <w:iCs/>
          <w:color w:val="595959"/>
          <w:sz w:val="18"/>
          <w:szCs w:val="18"/>
        </w:rPr>
        <w:t xml:space="preserve">寒武纪(688256) - 重大事项备忘 - 股票行情中心 - 搜狐证券 — https://q.stock.sohu.com/cn/688256/bw.shtml?utm_source=openai</w:t>
      </w:r>
    </w:p>
    <w:p>
      <w:pPr>
        <w:spacing w:after="200"/>
      </w:pPr>
      <w:r>
        <w:rPr>
          <w:i/>
          <w:iCs/>
          <w:color w:val="595959"/>
          <w:sz w:val="18"/>
          <w:szCs w:val="18"/>
        </w:rPr>
        <w:t xml:space="preserve">寒武纪(688256)公司公告_新浪财经_新浪网 — https://money.finance.sina.com.cn/corp/go.php/vCB_AllBulletin/stockid/688256.phtml?utm_source=openai</w:t>
      </w:r>
    </w:p>
    <w:p>
      <w:pPr>
        <w:spacing w:after="200"/>
      </w:pPr>
      <w:r>
        <w:rPr>
          <w:i/>
          <w:iCs/>
          <w:color w:val="595959"/>
          <w:sz w:val="18"/>
          <w:szCs w:val="18"/>
        </w:rPr>
        <w:t xml:space="preserve">寒武纪(688256)_公司公告_寒武纪：中信证券股份有限公司关于中科寒武纪科技股份有限公司2026年半年度持续督导跟踪报告新浪财经_新浪网 — https://money.finance.sina.com.cn/corp/view/vCB_AllBulletinDetail.php?id=12573722&amp;stockid=688256&amp;utm_source=openai</w:t>
      </w:r>
    </w:p>
    <w:p>
      <w:pPr>
        <w:spacing w:after="200"/>
      </w:pPr>
      <w:r>
        <w:rPr>
          <w:i/>
          <w:iCs/>
          <w:color w:val="595959"/>
          <w:sz w:val="18"/>
          <w:szCs w:val="18"/>
        </w:rPr>
        <w:t xml:space="preserve">寒武纪：2026年上半年净利润23.11亿元 同比增长122.61% _ 东方财富网 — https://finance.eastmoney.com/a/202608073835449390.html?utm_source=openai</w:t>
      </w:r>
    </w:p>
    <w:p>
      <w:pPr>
        <w:spacing w:after="200"/>
      </w:pPr>
      <w:r>
        <w:rPr>
          <w:i/>
          <w:iCs/>
          <w:color w:val="595959"/>
          <w:sz w:val="18"/>
          <w:szCs w:val="18"/>
        </w:rPr>
        <w:t xml:space="preserve">寒武纪 sh688256 的股票股价,行情,直播,新闻,财报,数据 - 爱股票 — https://stock.aigupiao.com/code/sh688256</w:t>
      </w:r>
    </w:p>
    <w:p>
      <w:pPr>
        <w:spacing w:after="200"/>
      </w:pPr>
      <w:r>
        <w:rPr>
          <w:i/>
          <w:iCs/>
          <w:color w:val="595959"/>
          <w:sz w:val="18"/>
          <w:szCs w:val="18"/>
        </w:rPr>
        <w:t xml:space="preserve">集友银行 — https://content5.etninfo.com/content/cyuwebV2/asharecontent/sc/ashare_quote.php?code=688256&amp;utm_source=openai</w:t>
      </w:r>
    </w:p>
    <w:p>
      <w:pPr>
        <w:spacing w:after="200"/>
      </w:pPr>
      <w:r>
        <w:rPr>
          <w:i/>
          <w:iCs/>
          <w:color w:val="595959"/>
          <w:sz w:val="18"/>
          <w:szCs w:val="18"/>
        </w:rPr>
        <w:t xml:space="preserve">寒武纪 (688256) - 历史交易数据 | 打板客网 — https://dabanke.com/hangqing-688256.html</w:t>
      </w:r>
    </w:p>
    <w:p>
      <w:pPr>
        <w:spacing w:after="200"/>
      </w:pPr>
      <w:r>
        <w:rPr>
          <w:i/>
          <w:iCs/>
          <w:color w:val="595959"/>
          <w:sz w:val="18"/>
          <w:szCs w:val="18"/>
        </w:rPr>
        <w:t xml:space="preserve">寒武纪(688256)股票行情走势技术分析_未来预测_买卖操作建议_英为财情Investing.com — https://cn.investing.com/equities/cambricon-technologies-corp-ltd-technical</w:t>
      </w:r>
    </w:p>
    <w:p>
      <w:pPr>
        <w:spacing w:after="200"/>
      </w:pPr>
      <w:r>
        <w:rPr>
          <w:i/>
          <w:iCs/>
          <w:color w:val="595959"/>
          <w:sz w:val="18"/>
          <w:szCs w:val="18"/>
        </w:rPr>
        <w:t xml:space="preserve">寒武纪(688256)_资金流向_证券之星 — https://stock.quote.stockstar.com/capital_688256.shtml</w:t>
      </w:r>
    </w:p>
    <w:p>
      <w:pPr>
        <w:spacing w:after="200"/>
      </w:pPr>
      <w:r>
        <w:rPr>
          <w:i/>
          <w:iCs/>
          <w:color w:val="595959"/>
          <w:sz w:val="18"/>
          <w:szCs w:val="18"/>
        </w:rPr>
        <w:t xml:space="preserve">寒武纪(688256) - 大宗交易 - 股票行情中心 - 搜狐证券 — https://q.stock.sohu.com/cn/688256/dzjy.shtml?utm_source=openai</w:t>
      </w:r>
    </w:p>
    <w:p>
      <w:pPr>
        <w:spacing w:after="200"/>
      </w:pPr>
      <w:r>
        <w:rPr>
          <w:i/>
          <w:iCs/>
          <w:color w:val="595959"/>
          <w:sz w:val="18"/>
          <w:szCs w:val="18"/>
        </w:rPr>
        <w:t xml:space="preserve">寒武纪(688256)主要股东_新浪财经_新浪网 — https://money.finance.sina.com.cn/corp/go.php/vCI_StockHolder/stockid/688256.phtml</w:t>
      </w:r>
    </w:p>
    <w:p>
      <w:pPr>
        <w:spacing w:after="200"/>
      </w:pPr>
      <w:r>
        <w:rPr>
          <w:i/>
          <w:iCs/>
          <w:color w:val="595959"/>
          <w:sz w:val="18"/>
          <w:szCs w:val="18"/>
        </w:rPr>
        <w:t xml:space="preserve">本报告由AI基于公开渠道信息自动检索、整理并生成，信息截至 数据截至2026年9月11日收盘；收盘行情主要采用爱股票截至2026年9月11日15:00:07的数据，部分技术指标及股东数据存在不同口径或滞后性。，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2026-09-13T15:57:01.080Z</dcterms:created>
  <dcterms:modified xsi:type="dcterms:W3CDTF">2026-09-13T15:57:01.080Z</dcterms:modified>
</cp:coreProperties>
</file>

<file path=docProps/custom.xml><?xml version="1.0" encoding="utf-8"?>
<Properties xmlns="http://schemas.openxmlformats.org/officeDocument/2006/custom-properties" xmlns:vt="http://schemas.openxmlformats.org/officeDocument/2006/docPropsVTypes"/>
</file>