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广东华特气体股份有限公司（华特气体） (688268)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行业：电子特气与工业气体</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数据截至2026年9月11日收盘；未来一周观察区间为2026年9月14日至9月18日。股东结构数据截至2026年6月30日，股东人数数据截至2026年7月31日，融资余额数据截至2026年9月9日。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特气体2026年上半年实现营业收入8.72亿元，同比增长28.95%；归母净利润9283.27万元，同比增长19.16%；扣非归母净利润8994.42万元，同比增长19.29%；经营活动现金流净额1.33亿元，同比增长46.93%，业绩较2025年明显恢复。增长主要来自光刻及其他混合气体、氟碳类气体销量提升，以及氦气及相关产品收入同比增长133%；但利润增速低于收入增速，说明产品价格、毛利率和成本端压力仍未完全消除。</w:t>
      </w:r>
    </w:p>
    <w:p>
      <w:pPr>
        <w:spacing w:after="160" w:line="300"/>
      </w:pPr>
      <w:r>
        <w:rPr>
          <w:sz w:val="22"/>
          <w:szCs w:val="22"/>
        </w:rPr>
        <w:t xml:space="preserve">公司核心业务仍是电子特气与工业气体，2025年特种气体收入9.24亿元，占主营业务收入约67.4%，毛利率35.76%；半导体业务收入6.55亿元，毛利率38.35%。公司已披露超过57种实现进口替代的特种气体产品，并具备多品类研发、纯化、混配、认证及供气服务能力，国产替代、半导体扩产和客户供应链本地化是中长期增长基础。</w:t>
      </w:r>
    </w:p>
    <w:p>
      <w:pPr>
        <w:spacing w:after="160" w:line="300"/>
      </w:pPr>
      <w:r>
        <w:rPr>
          <w:sz w:val="22"/>
          <w:szCs w:val="22"/>
        </w:rPr>
        <w:t xml:space="preserve">2025年公司收入仅增长1.70%，归母净利润下降26.75%，主营业务毛利率降至29.30%，传统氟碳类产品价格下行、氢化物需求走弱、行业新增产能释放以及费用和折旧摊销增加共同压制盈利。当前公司正推进江苏华特半导体材料生产基地项目，拟通过定向增发募集不超过7亿元，但项目仍处于预案阶段，新增产能和收益尚未兑现。</w:t>
      </w:r>
    </w:p>
    <w:p>
      <w:pPr>
        <w:spacing w:after="160" w:line="300"/>
      </w:pPr>
      <w:r>
        <w:rPr>
          <w:sz w:val="22"/>
          <w:szCs w:val="22"/>
        </w:rPr>
        <w:t xml:space="preserve">截至2026年9月11日，股价为127.55元，较8月18日收盘价回落约20.2%；MACD为负、均线结构偏弱，近5日和近10日大单资金均净流出，价格接近123—125元支撑区。估值方面，按TTM口径PE约101—108倍、PB约6倍，即使按机构一致预期，2026年动态PE仍约66倍，市场对后续业绩修复及高附加值产品放量已计入较高预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688268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1999年2月5日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2019年12月26日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最新完整年度经营信息</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2025年年度报告，报告期截至2025年12月31日，披露日期为2026年4月10日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特种气体的研发、生产和销售，同时经营普通工业气体、气体设备及工程业务，为半导体、新型显示面板、光伏新能源、光纤光缆、医疗、食品和高端装备制造等客户提供气体产品及综合供气解决方案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主要分布在广东佛山、湖南郴州、湖南邵阳、江西九江等地；公司还在江西、江苏等生产基地推进电子特气产能扩建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产品与技术资质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截至2025年末，公司披露已实现进口替代的特种气体产品超过57种，取得生产或经营资质的气体品种超过100种；累计取得270项专利，其中发明专利44项</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特种气体：2025年收入9.24亿元，占主营业务收入约67.4%，毛利率35.76%，包括清洗、蚀刻及辅助气体，稀混光刻气，外延、沉积及成膜气体，掺杂及离子注入气体，以及医疗、食品、标准气体和激光气体等</w:t>
      </w:r>
    </w:p>
    <w:p>
      <w:pPr>
        <w:pStyle w:val="ListParagraph"/>
        <w:numPr>
          <w:ilvl w:val="0"/>
          <w:numId w:val="2"/>
        </w:numPr>
        <w:spacing w:after="80" w:line="280"/>
      </w:pPr>
      <w:r>
        <w:rPr>
          <w:sz w:val="22"/>
          <w:szCs w:val="22"/>
        </w:rPr>
        <w:t xml:space="preserve">普通工业气体：2025年收入2.89亿元，占主营业务收入约21.1%，毛利率15.06%，主要贡献业务规模</w:t>
      </w:r>
    </w:p>
    <w:p>
      <w:pPr>
        <w:pStyle w:val="ListParagraph"/>
        <w:numPr>
          <w:ilvl w:val="0"/>
          <w:numId w:val="2"/>
        </w:numPr>
        <w:spacing w:after="80" w:line="280"/>
      </w:pPr>
      <w:r>
        <w:rPr>
          <w:sz w:val="22"/>
          <w:szCs w:val="22"/>
        </w:rPr>
        <w:t xml:space="preserve">设备及工程：2025年收入1.57亿元，占主营业务收入约11.5%，毛利率17.51%，涉及气瓶、储槽、汽化器、撬装装置、低温压力容器，以及供气系统设计、安装、维修和高纯洁净供气系统服务</w:t>
      </w:r>
    </w:p>
    <w:p>
      <w:pPr>
        <w:pStyle w:val="ListParagraph"/>
        <w:numPr>
          <w:ilvl w:val="0"/>
          <w:numId w:val="2"/>
        </w:numPr>
        <w:spacing w:after="80" w:line="280"/>
      </w:pPr>
      <w:r>
        <w:rPr>
          <w:sz w:val="22"/>
          <w:szCs w:val="22"/>
        </w:rPr>
        <w:t xml:space="preserve">按应用领域看，2025年半导体业务收入6.55亿元，毛利率38.35%；食品及医疗大健康业务收入0.96亿元，毛利率34.26%；其他应用领域收入6.18亿元，毛利率18.93%</w:t>
      </w:r>
    </w:p>
    <w:p>
      <w:pPr>
        <w:pStyle w:val="ListParagraph"/>
        <w:numPr>
          <w:ilvl w:val="0"/>
          <w:numId w:val="2"/>
        </w:numPr>
        <w:spacing w:after="80" w:line="280"/>
      </w:pPr>
      <w:r>
        <w:rPr>
          <w:sz w:val="22"/>
          <w:szCs w:val="22"/>
        </w:rPr>
        <w:t xml:space="preserve">按产品看，2025年光刻及其他混合气体收入3.12亿元、毛利率39.60%；碳氧化合物收入1.16亿元、毛利率57.60%；氢化物收入1.06亿元、毛利率27.98%；氟碳类气体收入2.22亿元、毛利率21.26%；普通工业气体收入2.89亿元、毛利率15.06%</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华特气体位于半导体和高端制造产业链中游，是提供高纯气体研发、生产、纯化、混配、认证及供应服务的特种气体企业。公司并非矿产或资源类企业，不拥有以矿山、油气田等形式计量的自然资源储备，其资源基础主要体现为气体原料供应渠道、生产基地、产品资质、客户认证和技术工艺积累。</w:t>
      </w:r>
    </w:p>
    <w:p>
      <w:pPr>
        <w:pStyle w:val="ListParagraph"/>
        <w:numPr>
          <w:ilvl w:val="0"/>
          <w:numId w:val="2"/>
        </w:numPr>
        <w:spacing w:after="80" w:line="280"/>
      </w:pPr>
      <w:r>
        <w:rPr>
          <w:sz w:val="22"/>
          <w:szCs w:val="22"/>
        </w:rPr>
        <w:t xml:space="preserve">公司采购内容主要包括气体原料、粗产品、钢瓶、储槽、储罐、管束车、钢板、铝材、阀门及其他气体设备相关配件；气体原料供应商主要包括基础化学原料企业、空分企业、大型金属及钢铁冶炼企业、石油化工企业以及生产粗产品的气体公司。</w:t>
      </w:r>
    </w:p>
    <w:p>
      <w:pPr>
        <w:pStyle w:val="ListParagraph"/>
        <w:numPr>
          <w:ilvl w:val="0"/>
          <w:numId w:val="2"/>
        </w:numPr>
        <w:spacing w:after="80" w:line="280"/>
      </w:pPr>
      <w:r>
        <w:rPr>
          <w:sz w:val="22"/>
          <w:szCs w:val="22"/>
        </w:rPr>
        <w:t xml:space="preserve">普通工业气体和部分大宗气体对空分、化工及能源成本较敏感，产品价格容易受到原料、能源、运输和区域供需影响；电子特气还承担纯化、混配、气瓶处理、分析检测、危险品储运、质量体系和客户认证等综合成本。</w:t>
      </w:r>
    </w:p>
    <w:p>
      <w:pPr>
        <w:pStyle w:val="ListParagraph"/>
        <w:numPr>
          <w:ilvl w:val="0"/>
          <w:numId w:val="2"/>
        </w:numPr>
        <w:spacing w:after="80" w:line="280"/>
      </w:pPr>
      <w:r>
        <w:rPr>
          <w:sz w:val="22"/>
          <w:szCs w:val="22"/>
        </w:rPr>
        <w:t xml:space="preserve">公司通常与主要供应商签订年度或长期框架协议，并通过战略合作、长期协议、多渠道采购和库存管理增强关键原材料保障能力；实际生产时通常根据订单提前1—3天通知供应商备货。</w:t>
      </w:r>
    </w:p>
    <w:p>
      <w:pPr>
        <w:pStyle w:val="ListParagraph"/>
        <w:numPr>
          <w:ilvl w:val="0"/>
          <w:numId w:val="2"/>
        </w:numPr>
        <w:spacing w:after="80" w:line="280"/>
      </w:pPr>
      <w:r>
        <w:rPr>
          <w:sz w:val="22"/>
          <w:szCs w:val="22"/>
        </w:rPr>
        <w:t xml:space="preserve">公司对基础气体、化工原料、钢瓶、阀门和运输等上游环节不具备绝对定价权，整体仍属于部分原料的价格接受者；相对优势主要来自纯化技术、质量控制、产品认证和多品类采购整合能力。</w:t>
      </w:r>
    </w:p>
    <w:p>
      <w:pPr>
        <w:pStyle w:val="ListParagraph"/>
        <w:numPr>
          <w:ilvl w:val="0"/>
          <w:numId w:val="2"/>
        </w:numPr>
        <w:spacing w:after="80" w:line="280"/>
      </w:pPr>
      <w:r>
        <w:rPr>
          <w:sz w:val="22"/>
          <w:szCs w:val="22"/>
        </w:rPr>
        <w:t xml:space="preserve">研究纪要未披露主要供应商采购金额占比或供应商集中度数据，因此无法据此判断供应商集中风险的具体程度。</w:t>
      </w:r>
    </w:p>
    <w:p>
      <w:pPr>
        <w:pStyle w:val="ListParagraph"/>
        <w:numPr>
          <w:ilvl w:val="0"/>
          <w:numId w:val="2"/>
        </w:numPr>
        <w:spacing w:after="80" w:line="280"/>
      </w:pPr>
      <w:r>
        <w:rPr>
          <w:sz w:val="22"/>
          <w:szCs w:val="22"/>
        </w:rPr>
        <w:t xml:space="preserve">下游客户主要包括集成电路制造企业、新型显示面板企业、光伏电池及组件企业、光纤光缆企业、第三代半导体企业，以及医疗、食品和高端装备制造企业。</w:t>
      </w:r>
    </w:p>
    <w:p>
      <w:pPr>
        <w:pStyle w:val="ListParagraph"/>
        <w:numPr>
          <w:ilvl w:val="0"/>
          <w:numId w:val="2"/>
        </w:numPr>
        <w:spacing w:after="80" w:line="280"/>
      </w:pPr>
      <w:r>
        <w:rPr>
          <w:sz w:val="22"/>
          <w:szCs w:val="22"/>
        </w:rPr>
        <w:t xml:space="preserve">半导体和显示面板客户对气体纯度、杂质含量、稳定性、连续供货和安全管理要求较高。新供应商通常需要经历审厂、样品测试、小批量试用和大批量验证，认证周期可能达到1—3年，产品稳定进入供应链后客户替换成本较高。</w:t>
      </w:r>
    </w:p>
    <w:p>
      <w:pPr>
        <w:pStyle w:val="ListParagraph"/>
        <w:numPr>
          <w:ilvl w:val="0"/>
          <w:numId w:val="2"/>
        </w:numPr>
        <w:spacing w:after="80" w:line="280"/>
      </w:pPr>
      <w:r>
        <w:rPr>
          <w:sz w:val="22"/>
          <w:szCs w:val="22"/>
        </w:rPr>
        <w:t xml:space="preserve">公司披露已进入中芯国际、长江存储、华润微电子、华虹半导体、士兰微、英诺赛科等客户供应链，并通过分销或直接销售进入英特尔、美光、德州仪器、格芯、台积电、联电、三星、SK海力士、英飞凌和铠侠等国际客户供应链。上述客户名单和覆盖率主要来自公司年报及评级报告，部分客户可能属于分销或间接供应关系，不能全部理解为公司直接供货。</w:t>
      </w:r>
    </w:p>
    <w:p>
      <w:pPr>
        <w:pStyle w:val="ListParagraph"/>
        <w:numPr>
          <w:ilvl w:val="0"/>
          <w:numId w:val="2"/>
        </w:numPr>
        <w:spacing w:after="80" w:line="280"/>
      </w:pPr>
      <w:r>
        <w:rPr>
          <w:sz w:val="22"/>
          <w:szCs w:val="22"/>
        </w:rPr>
        <w:t xml:space="preserve">2025年直销收入10.45亿元，毛利率31.97%；分销收入3.25亿元，毛利率20.71%；直销占主营业务收入约76.3%，是主要销售模式。</w:t>
      </w:r>
    </w:p>
    <w:p>
      <w:pPr>
        <w:pStyle w:val="ListParagraph"/>
        <w:numPr>
          <w:ilvl w:val="0"/>
          <w:numId w:val="2"/>
        </w:numPr>
        <w:spacing w:after="80" w:line="280"/>
      </w:pPr>
      <w:r>
        <w:rPr>
          <w:sz w:val="22"/>
          <w:szCs w:val="22"/>
        </w:rPr>
        <w:t xml:space="preserve">2025年前五大客户销售额3.19亿元，占营业收入约22.51%；2024年为2.90亿元，占年度销售总额20.77%；2023年为2.99亿元，占比19.94%。上述集中度数据来自研究纪要所列公开数据库及年报整理，已覆盖多个年度，但不同年度分母口径表述存在差异，具体以最新年报为准。</w:t>
      </w:r>
    </w:p>
    <w:p>
      <w:pPr>
        <w:pStyle w:val="ListParagraph"/>
        <w:numPr>
          <w:ilvl w:val="0"/>
          <w:numId w:val="2"/>
        </w:numPr>
        <w:spacing w:after="80" w:line="280"/>
      </w:pPr>
      <w:r>
        <w:rPr>
          <w:sz w:val="22"/>
          <w:szCs w:val="22"/>
        </w:rPr>
        <w:t xml:space="preserve">公司客户集中度整体处于中等水平，未达到单一客户依赖程度；但半导体、显示面板和大型制造客户通常具有较强采购管理和付款议价能力，行业竞争已由技术认证竞争逐步转向技术、成本、规模和供应稳定性的综合竞争。</w:t>
      </w:r>
    </w:p>
    <w:p>
      <w:pPr>
        <w:pStyle w:val="ListParagraph"/>
        <w:numPr>
          <w:ilvl w:val="0"/>
          <w:numId w:val="2"/>
        </w:numPr>
        <w:spacing w:after="80" w:line="280"/>
      </w:pPr>
      <w:r>
        <w:rPr>
          <w:sz w:val="22"/>
          <w:szCs w:val="22"/>
        </w:rPr>
        <w:t xml:space="preserve">2025年国内新增产能逐步释放，氟碳类产品价格承压，行业出现需求增长但价格中枢下移、销量增长与利润增长背离的现象，显示下游客户降本及行业供给增加的压力正在向特气供应商传导。</w:t>
      </w:r>
    </w:p>
    <w:p>
      <w:pPr>
        <w:pStyle w:val="ListParagraph"/>
        <w:numPr>
          <w:ilvl w:val="0"/>
          <w:numId w:val="2"/>
        </w:numPr>
        <w:spacing w:after="80" w:line="280"/>
      </w:pPr>
      <w:r>
        <w:rPr>
          <w:sz w:val="22"/>
          <w:szCs w:val="22"/>
        </w:rPr>
        <w:t xml:space="preserve">截至2025年12月31日，公司合并口径应收账款账面价值3.67亿元，相当于全年营业收入14.19亿元的约25.9%，约为当年归母净利润1.35亿元的2.7倍；以年末应收账款除以营业收入粗略折算约为94天收入，但该计算未使用期初期末平均应收账款，不等同于公司正式披露的应收账款周转天数。同期应付账款0.90亿元、应付票据0.52亿元、合同负债0.28亿元；应付账款约相当于年度主营业务成本9.69亿元的9.3%，静态折算约为34天成本。应收账款规模明显高于应付账款和合同负债，表明公司对下游存在一定账期及营运资金占用，尚未能完全通过上游信用占用对冲下游账期。</w:t>
      </w:r>
    </w:p>
    <w:p>
      <w:pPr>
        <w:pStyle w:val="ListParagraph"/>
        <w:numPr>
          <w:ilvl w:val="0"/>
          <w:numId w:val="2"/>
        </w:numPr>
        <w:spacing w:after="80" w:line="280"/>
      </w:pPr>
      <w:r>
        <w:rPr>
          <w:sz w:val="22"/>
          <w:szCs w:val="22"/>
        </w:rPr>
        <w:t xml:space="preserve">客户集中度方面，2025年前五大客户占营业收入约22.51%，2024年为20.77%，2023年为19.94%；客户集中度中等，未体现明显单一客户依赖。供应商集中度数据在研究纪要中缺失，无法判断上游供应商集中风险的具体程度。客户名称、覆盖率及部分供应关系主要来自公司年报、评级报告或公开数据库，部分客户可能为分销或间接供应关系，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销售毛利率约26.88%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销售净利率约11.46%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半导体需求增长、特种气体销量和价格上涨，以及新产品、新客户放量，推动收入和利润快速增长。</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销售毛利率30.59%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销售净利率11.47%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产品结构改善，光刻及其他混合气体等高毛利业务增长；但消费电子和部分半导体需求放缓，净利率基本持平。</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主营业务毛利率30.33%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归母净利率约13.2%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氢化物收入下降，但光刻及其他混合气体、普通工业气体及部分其他产品增长，综合毛利率较2023年有所改善。净利率按归母净利润1.85亿元及年度销售总额口径粗略计算。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主营业务毛利率29.30%；销售毛利率约30.87%，两者统计口径不同</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按营业总收入计算的归母净利率约9.54%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传统氟碳类产品价格下行、氢化物需求下降、行业产能释放和价格竞争使利润承压；高毛利电子特气新品放量及半导体应用产品毛利率提升约1.04个百分点，但尚未完全抵消传统产品降价、费用增加、可转债利息和汇兑损益影响。</w:t>
            </w:r>
          </w:p>
        </w:tc>
      </w:tr>
    </w:tbl>
    <w:p>
      <w:pPr>
        <w:spacing w:before="200"/>
      </w:pPr>
    </w:p>
    <w:p>
      <w:pPr>
        <w:spacing w:after="160" w:line="300"/>
      </w:pPr>
      <w:r>
        <w:rPr>
          <w:sz w:val="22"/>
          <w:szCs w:val="22"/>
        </w:rPr>
        <w:t xml:space="preserve">公司处于产业链中游的高纯气体研发、生产、认证和供应服务环节，整体不是上游资源型高毛利企业，也不是拥有终端品牌定价权的下游企业。普通工业气体和设备工程业务利润相对较薄，电子特气、光刻混合气、高纯碳氧化合物及先进制程相关新品具有更高毛利和技术认证壁垒。未来利润改善主要取决于高毛利产品及半导体业务的产品结构升级、进口替代和客户放量，同时也取决于成本控制、产能利用率和对下游价格竞争的缓解，而非对基础原料价格拥有定价权。</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8.7239亿元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同比增长28.95%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归母净利润9283.27万元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同比增长19.16%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14.1875亿元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归母净利润1.3535亿元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同比下降26.75%</w:t>
            </w:r>
          </w:p>
        </w:tc>
      </w:tr>
    </w:tbl>
    <w:p>
      <w:pPr>
        <w:spacing w:after="200"/>
      </w:pPr>
      <w:r>
        <w:rPr>
          <w:i/>
          <w:iCs/>
          <w:color w:val="595959"/>
          <w:sz w:val="18"/>
          <w:szCs w:val="18"/>
        </w:rPr>
        <w:t xml:space="preserve">2026年半年度报告于2026年8月26日披露，报告期为2026年1月1日至6月30日，未经审计。2025年年度报告于2026年4月10日披露，审计机构出具标准无保留意见审计报告。2026年上半年扣非归母净利润为8994.42万元，同比增长19.29%；基本每股收益为0.78元，同比增长20.00%；加权平均净资产收益率为4.34%，较上年同期提高0.43个百分点。</w:t>
      </w:r>
    </w:p>
    <w:p>
      <w:pPr>
        <w:spacing w:after="160" w:line="300"/>
      </w:pPr>
      <w:r>
        <w:rPr>
          <w:sz w:val="22"/>
          <w:szCs w:val="22"/>
        </w:rPr>
        <w:t xml:space="preserve">2025年公司收入基本稳定，但受传统氟碳类产品价格竞争、部分氢化物产品需求阶段性走弱以及费用和折旧摊销增加等因素影响，利润明显承压。2026年上半年收入、归母净利润和经营活动现金流均恢复增长，其中经营活动产生的现金流量净额为1.3345亿元，同比增长46.93%；但利润增速低于收入增速，毛利率及产品价格压力尚未完全消除。截至2026年6月30日，归属于上市公司股东的净资产为26.6012亿元，较2025年末增长32.15%；总资产为36.7592亿元，较2025年末增长2.60%；期末股本为1.2768亿股。净资产大幅增加主要与华特转债大量转股、资本公积增加有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预测为截至2026年9月11日同花顺F10汇总的近6个月内8家机构预测，属于机构研报摘录汇总，不是公司官方指引。营业收入预测披露完整度低于净利润和EPS，部分机构收入预测存在重复列示情况，因此收入一致预期仅供参考。机构分歧主要来自氦气、锗烷等高附加值产品放量速度、产品价格、项目产能爬坡及行业竞争程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机构一致预期均值约17.66亿元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机构一致预期均值约2.40亿元；预测区间1.97亿至3.01亿元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约增长78%（研究纪要结论中的机构预计值）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一致预期均值约1.93元；预测区间1.54至2.36元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机构一致预期均值约21.37亿元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机构一致预期均值约2.99亿元；预测区间2.51亿至4.01亿元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研究纪要未披露一致预期同比增速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一致预期均值约2.40元；预测区间1.97至3.14元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机构一致预期均值约26.10亿元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机构一致预期均值约3.61亿元；预测区间3.05亿至4.82亿元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研究纪要未披露一致预期同比增速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一致预期均值约2.87元；预测区间2.39至3.77元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同花顺近6个月研报统计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买入2份、增持12份；中性、减持、卖出均为0份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为研报数量统计，不等同于严格意义上的多机构加权评级指数。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预测2026—2028年归母净利润分别为2.42亿、2.88亿、3.43亿元；当前股价对应PE约78.2倍、65.6倍、55.1倍；可获取摘要未披露明确目标价。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预测2026—2028年营业收入分别为17.83亿、19.93亿、22.56亿元，归母净利润分别为2.23亿、2.74亿、3.44亿元；目标价未披露。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预测2026—2028年归母净利润分别为3.01亿、4.01亿、4.82亿元，EPS分别为2.36元、3.14元、3.77元；按2026年111倍PE估值，目标价为261.96元。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估值基准切换至2027年，给予2027年49倍PE，目标价下调至153.86元；预测2026—2028年归母净利润分别为3.01亿、4.01亿、4.82亿元。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维持2026—2027年EPS为2.36元和2.99元，新增2028年EPS为3.30元；按2026年52倍PE估值，目标价为122.72元。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预测2026—2028年归母净利润分别为1.97亿、2.62亿、3.42亿元。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Investing.com市场数据平台</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3名分析师建议买入、1名建议持有、无卖出评级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截至研究纪要披露时点</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覆盖4名分析师，12个月平均目标价为149.47元，目标价区间为120元至200元；分析师名单、权重及更新时间需以平台原始页面为准。</w:t>
            </w:r>
          </w:p>
        </w:tc>
      </w:tr>
    </w:tbl>
    <w:p>
      <w:pPr>
        <w:spacing w:before="200"/>
      </w:pPr>
    </w:p>
    <w:p>
      <w:pPr>
        <w:spacing w:after="160" w:line="300"/>
      </w:pPr>
      <w:r>
        <w:rPr>
          <w:sz w:val="22"/>
          <w:szCs w:val="22"/>
        </w:rPr>
        <w:t xml:space="preserve">截至2026年9月11日收盘，股价为127.55元。以2026年6月30日股本1.2768亿股计算，总市值约162.8亿元；以期末归母净资产26.6012亿元计算，每股净资产约20.83元，对应PB约6.12倍。以2025年基本每股收益1.13元计算，静态PE约112.9倍；按近四个季度口径，TTM EPS约1.26元，对应PE(TTM)约101倍。中财网2026年9月11日盘中数据显示PE约105.92倍、扣非PE约116.69倍、PB约5.87倍，因盘中价格和数据刷新时点不同，与收盘价口径计算结果存在差异。按同花顺机构一致预期EPS计算，2026—2028年预测PE分别约为66.1倍、53.1倍和44.4倍；按预测区间计算，分别约为54.0至82.8倍、40.6至64.7倍和33.8至53.4倍。机构目标价跨度较大，研究纪要披露的主要目标价约为122.72元至261.96元，较低目标价主要采用2026年或2027年约49—52倍PE，较高目标价则依赖2026年88—111倍PE。当前估值对应约101倍TTM PE和约6.1倍PB，历史财报口径估值偏高，即使按一致预期，2026年动态PE仍约66倍。估值已包含较强的业绩改善预期，股价对氦气、锗烷、电子特气新产品放量及项目产能爬坡较为敏感；2026年利润增长还受到2025年低基数影响，不能简单等同于长期稳定增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2026年半年度业绩预告及半年度报告披露</w:t>
      </w:r>
    </w:p>
    <w:p>
      <w:pPr>
        <w:spacing w:after="160" w:line="300"/>
      </w:pPr>
      <w:r>
        <w:rPr>
          <w:sz w:val="22"/>
          <w:szCs w:val="22"/>
        </w:rPr>
        <w:t xml:space="preserve">公司于2026年7月21日披露半年度业绩预告，预计2026年1—6月归属于上市公司股东的净利润约9299.09万元，同比增加1508.37万元，增幅约19.36%。公司于2026年8月26日披露半年度报告：营业收入8.7239亿元，同比增长28.95%；归母净利润9283.27万元，同比增长19.16%；扣非归母净利润8994.42万元，同比增长19.29%；经营活动产生的现金流量净额1.3345亿元，同比增长46.93%；基本每股收益0.78元，同比增长20.00%。公司未进行半年度利润分配或资本公积金转增股本。业绩增长主要来自光刻及其他混合气体、氟碳类气体等核心特种气体销量提升及销售毛利增加。</w:t>
      </w:r>
    </w:p>
    <w:p>
      <w:pPr>
        <w:pStyle w:val="Heading2"/>
        <w:spacing w:after="120" w:before="240"/>
      </w:pPr>
      <w:r>
        <w:rPr>
          <w:b/>
          <w:bCs/>
          <w:color w:val="2E74B5"/>
          <w:sz w:val="24"/>
          <w:szCs w:val="24"/>
        </w:rPr>
        <w:t xml:space="preserve">4.2 氦气及半导体业务增长</w:t>
      </w:r>
    </w:p>
    <w:p>
      <w:pPr>
        <w:spacing w:after="160" w:line="300"/>
      </w:pPr>
      <w:r>
        <w:rPr>
          <w:sz w:val="22"/>
          <w:szCs w:val="22"/>
        </w:rPr>
        <w:t xml:space="preserve">公司披露，氦气及相关产品业务收入约占营业总收入20%，同比增长133%；半导体领域实现营业收入约3.4289亿元，同比增长28.22%。公司称，氦气供需格局变化、产品价格上涨、供应保障体系建设，以及光刻混合气体、氟碳类气体销量增长，共同推动上半年业绩增长。氦气业务的133%为分业务收入增速，不等同于公司整体盈利增速，公开资料未披露该业务完整季度拆分及独立净利润贡献。</w:t>
      </w:r>
    </w:p>
    <w:p>
      <w:pPr>
        <w:pStyle w:val="Heading2"/>
        <w:spacing w:after="120" w:before="240"/>
      </w:pPr>
      <w:r>
        <w:rPr>
          <w:b/>
          <w:bCs/>
          <w:color w:val="2E74B5"/>
          <w:sz w:val="24"/>
          <w:szCs w:val="24"/>
        </w:rPr>
        <w:t xml:space="preserve">4.3 拟向特定对象发行股票并建设江苏华特半导体材料生产基地</w:t>
      </w:r>
    </w:p>
    <w:p>
      <w:pPr>
        <w:spacing w:after="160" w:line="300"/>
      </w:pPr>
      <w:r>
        <w:rPr>
          <w:sz w:val="22"/>
          <w:szCs w:val="22"/>
        </w:rPr>
        <w:t xml:space="preserve">公司于2026年8月29日披露2026年度向特定对象发行A股股票预案及相关文件，拟发行股票数量不超过3830.4611万股，募集资金总额不超过7亿元，发行规模上限约为发行前总股本的30%。募集资金拟用于江苏华特半导体材料生产基地建设项目（一期）6亿元及补充流动资金1亿元；项目总投资约6.1534亿元，投资总额合计约7.1534亿元。项目位于江苏南通，拟通过向全资子公司江苏华特提供借款等方式实施，主要用于完善长三角半导体材料及电子特气产能布局。截至2026年9月13日，该事项仍处于董事会审议通过后的预案阶段，尚需股东会审议、上海证券交易所审核及中国证监会注册同意，实际发行规模、时间及项目收益存在不确定性。</w:t>
      </w:r>
    </w:p>
    <w:p>
      <w:pPr>
        <w:pStyle w:val="Heading2"/>
        <w:spacing w:after="120" w:before="240"/>
      </w:pPr>
      <w:r>
        <w:rPr>
          <w:b/>
          <w:bCs/>
          <w:color w:val="2E74B5"/>
          <w:sz w:val="24"/>
          <w:szCs w:val="24"/>
        </w:rPr>
        <w:t xml:space="preserve">4.4 再融资可能带来股本摊薄压力</w:t>
      </w:r>
    </w:p>
    <w:p>
      <w:pPr>
        <w:spacing w:after="160" w:line="300"/>
      </w:pPr>
      <w:r>
        <w:rPr>
          <w:sz w:val="22"/>
          <w:szCs w:val="22"/>
        </w:rPr>
        <w:t xml:space="preserve">公司在摊薄即期回报测算中，以发行数量上限3830.4611万股及2026年6月30日总股本1.2768亿股为基础。若按上限发行，股本扩张可能对短期每股收益形成摊薄压力；若募投项目顺利投产并产生效益，则可能增强公司半导体材料和电子特气产能。相关影响目前属于预案测算和项目规划，不能提前计入公司业绩。</w:t>
      </w:r>
    </w:p>
    <w:p>
      <w:pPr>
        <w:pStyle w:val="Heading2"/>
        <w:spacing w:after="120" w:before="240"/>
      </w:pPr>
      <w:r>
        <w:rPr>
          <w:b/>
          <w:bCs/>
          <w:color w:val="2E74B5"/>
          <w:sz w:val="24"/>
          <w:szCs w:val="24"/>
        </w:rPr>
        <w:t xml:space="preserve">4.5 前期股东及高管减持计划实施完毕</w:t>
      </w:r>
    </w:p>
    <w:p>
      <w:pPr>
        <w:spacing w:after="160" w:line="300"/>
      </w:pPr>
      <w:r>
        <w:rPr>
          <w:sz w:val="22"/>
          <w:szCs w:val="22"/>
        </w:rPr>
        <w:t xml:space="preserve">公司于2026年9月10日披露股东及高级管理人员减持股份结果公告，对应减持期间为2026年6月10日至2026年9月9日。张穗萍计划减持不超过119.70万股，实际减持119.177万股，减持比例约0.933%，价格区间为191.02—228.82元/股，减持金额约2.3926亿元；董事会秘书万灵芝计划减持不超过4375股，实际减持4275股，减持比例约0.003%，减持金额约80.94万元；郭湛泉计划减持不超过900股，实际减持700股，减持比例约0.001%，减持金额约13.71万元。三名股东均未达到原计划上限，但减持计划期间已届满，且未导致公司控制权发生变化。</w:t>
      </w:r>
    </w:p>
    <w:p>
      <w:pPr>
        <w:pStyle w:val="Heading2"/>
        <w:spacing w:after="120" w:before="240"/>
      </w:pPr>
      <w:r>
        <w:rPr>
          <w:b/>
          <w:bCs/>
          <w:color w:val="2E74B5"/>
          <w:sz w:val="24"/>
          <w:szCs w:val="24"/>
        </w:rPr>
        <w:t xml:space="preserve">4.6 多福系股东拟通过大宗交易减持</w:t>
      </w:r>
    </w:p>
    <w:p>
      <w:pPr>
        <w:spacing w:after="160" w:line="300"/>
      </w:pPr>
      <w:r>
        <w:rPr>
          <w:sz w:val="22"/>
          <w:szCs w:val="22"/>
        </w:rPr>
        <w:t xml:space="preserve">公司于2026年9月3日披露新的股东减持计划。厦门华弘多福投资合伙企业（有限合伙）、厦门华和多福投资合伙企业（有限合伙）、厦门华进多福投资合伙企业（有限合伙）拟于2026年9月28日至2026年12月27日期间，通过大宗交易合计减持不超过255.30万股，占公司总股本比例不超过约2.01%。该事项属于减持计划，截至2026年9月13日尚未实施，实际减持数量、价格和时间存在不确定性，公告称不会导致公司控制权变更，但可能增加阶段性市场供给压力。</w:t>
      </w:r>
    </w:p>
    <w:p>
      <w:pPr>
        <w:pStyle w:val="Heading2"/>
        <w:spacing w:after="120" w:before="240"/>
      </w:pPr>
      <w:r>
        <w:rPr>
          <w:b/>
          <w:bCs/>
          <w:color w:val="2E74B5"/>
          <w:sz w:val="24"/>
          <w:szCs w:val="24"/>
        </w:rPr>
        <w:t xml:space="preserve">4.7 近期股份变动及可转债转股情况</w:t>
      </w:r>
    </w:p>
    <w:p>
      <w:pPr>
        <w:spacing w:after="160" w:line="300"/>
      </w:pPr>
      <w:r>
        <w:rPr>
          <w:sz w:val="22"/>
          <w:szCs w:val="22"/>
        </w:rPr>
        <w:t xml:space="preserve">截至2026年9月13日，未发现公司在2026年8月至9月新披露大规模普通股回购计划。公司于2026年1月21日完成回购专用证券账户中308,556股股份注销；2026年6月完成部分限制性股票回购注销，注销股份约8.10万股；“华特转债”于2026年上半年完成提前赎回，并有约7,766,661股因可转债转股新增。上述事项影响公司股本结构，但不属于9月新发生的普通股回购事项。</w:t>
      </w:r>
    </w:p>
    <w:p>
      <w:pPr>
        <w:pStyle w:val="Heading2"/>
        <w:spacing w:after="120" w:before="240"/>
      </w:pPr>
      <w:r>
        <w:rPr>
          <w:b/>
          <w:bCs/>
          <w:color w:val="2E74B5"/>
          <w:sz w:val="24"/>
          <w:szCs w:val="24"/>
        </w:rPr>
        <w:t xml:space="preserve">4.8 监管、政策及问询情况</w:t>
      </w:r>
    </w:p>
    <w:p>
      <w:pPr>
        <w:spacing w:after="160" w:line="300"/>
      </w:pPr>
      <w:r>
        <w:rPr>
          <w:sz w:val="22"/>
          <w:szCs w:val="22"/>
        </w:rPr>
        <w:t xml:space="preserve">截至2026年9月13日，未检索到公司在2026年9月因信息披露违法、重大行政处罚、交易所纪律处分或监管警示而发布的新增公告。公司再融资相关文件称，最近五年未被证券监管部门和证券交易所采取监管措施或处罚。公司受益于半导体国产替代、电子特气供应链安全和集成电路产能扩张等产业趋势，但未发现2026年9月新增且能直接对应公司具体订单或补贴金额的重大政策公告。</w:t>
      </w:r>
    </w:p>
    <w:p>
      <w:pPr>
        <w:pStyle w:val="Heading2"/>
        <w:spacing w:after="120" w:before="240"/>
      </w:pPr>
      <w:r>
        <w:rPr>
          <w:b/>
          <w:bCs/>
          <w:color w:val="2E74B5"/>
          <w:sz w:val="24"/>
          <w:szCs w:val="24"/>
        </w:rPr>
        <w:t xml:space="preserve">4.9 未发现近期重大并购及资产重组公告</w:t>
      </w:r>
    </w:p>
    <w:p>
      <w:pPr>
        <w:spacing w:after="160" w:line="300"/>
      </w:pPr>
      <w:r>
        <w:rPr>
          <w:sz w:val="22"/>
          <w:szCs w:val="22"/>
        </w:rPr>
        <w:t xml:space="preserve">截至2026年9月13日，未检索到公司在2026年8月至9月披露重大并购、重大资产重组或收购标的的正式公告。近期较大的资本运作为向特定对象发行股票并建设江苏华特半导体材料生产基地，该事项不属于并购交易。</w:t>
      </w:r>
    </w:p>
    <w:p>
      <w:pPr>
        <w:pStyle w:val="Heading2"/>
        <w:spacing w:after="120" w:before="240"/>
      </w:pPr>
      <w:r>
        <w:rPr>
          <w:b/>
          <w:bCs/>
          <w:color w:val="2E74B5"/>
          <w:sz w:val="24"/>
          <w:szCs w:val="24"/>
        </w:rPr>
        <w:t xml:space="preserve">4.10 近期消息综合影响及主要不确定性</w:t>
      </w:r>
    </w:p>
    <w:p>
      <w:pPr>
        <w:spacing w:after="160" w:line="300"/>
      </w:pPr>
      <w:r>
        <w:rPr>
          <w:sz w:val="22"/>
          <w:szCs w:val="22"/>
        </w:rPr>
        <w:t xml:space="preserve">偏积极因素包括：2026年上半年收入、归母净利润、扣非归母净利润分别同比增长28.95%、19.16%和19.29%；经营性现金流增速高于净利润增速；氦气及相关产品收入同比增长133%；拟建设江苏半导体材料生产基地。偏谨慎因素包括：定向增发可能带来股本扩张及短期每股收益摊薄；多福系股东拟减持不超过255.30万股；部分业绩增长与氦气价格及供需格局变化有关；再融资及募投项目尚未完成，项目尚未形成新增产能和利润。研究纪要截至2026年9月13日，未发现9月11日至9月13日新增重大公告，后续信息以上交所及公司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127.55元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下跌1.75元，跌幅1.35%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127.00元/130.00元/123.36元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约388.82万股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约4.9189亿元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约162.9亿元；不同页面约为162.9亿—165.1亿元，存在口径差异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约108.37倍；部分页面显示约108倍—110倍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PB</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约6.01—6.27倍，不同数据源存在小幅口径差异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2026年8月18日收盘159.89元至9月11日收盘127.55元，区间跌幅约20.2%；9月1日至9月11日区间跌幅约9.9%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均线（Investing网站指标参考）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MA5 125.96元；MA10 127.91元；MA20 129.72元；MA50 133.81元；对应指数均线约126.96元、127.77元、129.26元、133.61元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当前价格低于MA10、MA20和MA50附近的中短期成本区，均线结构总体偏空，反弹可能受到均线压制。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均线（基于2026年8月17日至9月11日未复权收盘价自行计算）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MA5约130.28元；MA10约134.95元；MA20约141.26元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该口径与网站技术页存在明显差异，可能与计算时点、复权方式、样本区间或数据更新状态有关，因此仅作辅助参考，不视为唯一精确值。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约-2.25，页面信号为“卖出”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MACD位于零轴下方且为负值，反映中短期动能偏弱；由于缺少完整DIF、DEA及柱体序列，无法确认底背离或绿柱收敛。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41.204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处于弱势中性区域，尚未进入30以下的传统超卖区。RSI6缺少同口径官方数值，仅能定性判断短线已出现明显超卖特征。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布林带（20日、2倍标准差，未复权自行测算）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中轨约141.3元；上轨约160.5元；下轨约122.0元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收盘价127.55元接近布林下轨，处于弱势通道下沿附近；若123元附近承接有效，存在技术性反弹可能，若放量跌破122元附近，可能向118—120元区域进一步探底。该指标受复权方式、标准差算法和样本区间影响。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近5日大单及超大单净流出约1.484亿元，小单净流入约1.123亿元，合计净流出约3802万元；近10日大单及超大单净流出约1.826亿元，小单净流入约1.865亿元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呈现“大单流出、小单承接”特征，但该统计按成交单笔大小划分，无法识别真实账户身份，不等同于机构或主力持仓变化。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近10日筹码集中度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下降约2.0个百分点</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公开资金及筹码统计暂未显示出明显的强势集中或反转信号。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市场筹码模型（截至2026年9月11日）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市场筹码均价约142.25元；主要筹码峰约131.1元和133.0元；主力成本区约149.05—153.59元；小单成本区约138.04—142.25元；获利盘比例约2.2%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当前价格低于市场均价、小单成本区及主力成本区，上方可能存在套牢和解套压力；相关数据为模型估算，并非交易所直接披露的账户级持仓数据。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近52周高点约289—290元，低点约51—54元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不同平台对复权、盘中极值及区间起止的处理存在差异，最高价和最低价的精确发生日期未能交叉确认。</w:t>
            </w:r>
          </w:p>
        </w:tc>
      </w:tr>
    </w:tbl>
    <w:p>
      <w:pPr>
        <w:spacing w:before="200"/>
      </w:pPr>
    </w:p>
    <w:p>
      <w:pPr>
        <w:spacing w:after="160" w:line="300"/>
      </w:pPr>
      <w:r>
        <w:rPr>
          <w:sz w:val="22"/>
          <w:szCs w:val="22"/>
        </w:rPr>
        <w:t xml:space="preserve">华特气体截至2026年9月11日收盘价为127.55元，近期经历明显冲高回落：自8月18日收盘159.89元回落约20.2%，9月1日还出现成交额约14.93亿元、换手率8.25%的放量下跌。当前价格接近布林下轨和123元附近的近期低位支撑，但MACD为负、均线总体偏空，且近5日及近10日大单资金均净流出，短线趋势仍偏弱。9月11日盘中最低触及123.36元后收回，显示123元附近存在一定承接，但反弹能否持续仍需观察成交量、压力位突破情况及相关板块表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风险提示：以下内容仅为基于截至2026年9月11日收盘数据、历史价格及公开技术指标的主观情景推演，不构成投资建议，也不代表对未来股价的确定性预测。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133.3—138.4元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对应近期筹码峰、MA10附近及前期反弹密集成交区域；若无法有效突破，股价可能在127—134元附近反复震荡；若放量站稳138元上方，可观察139—146元区域。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123.0—125.0元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接近9月11日盘中低点123.36元及自行测算的布林下轨附近；若出现缩量止跌和下影线承接，可能形成短线技术反弹起点。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118.5—121.5元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接近公开筹码模型给出的118.48—124.80元支撑带下沿；若放量跌破118元附近，意味着近期低位支撑失效，可能向更低的历史成交密集区寻找支撑。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主观权重较高，约五成至六成；该权重为基于当前技术面、资金流向和筹码结构的主观启发式判断，不是统计概率）：参考价格带为123—134元。触发条件是股价在123—125元附近获得承接，但成交额没有持续明显放大，同时无法有效站稳133—134元压力区。布林下轨附近的超卖修复需求与MACD为负、均线偏空、大单持续流出并存，弱势震荡可作为当前基准观察情景。</w:t>
      </w:r>
    </w:p>
    <w:p>
      <w:pPr>
        <w:pStyle w:val="ListParagraph"/>
        <w:numPr>
          <w:ilvl w:val="0"/>
          <w:numId w:val="2"/>
        </w:numPr>
        <w:spacing w:after="80" w:line="280"/>
      </w:pPr>
      <w:r>
        <w:rPr>
          <w:sz w:val="22"/>
          <w:szCs w:val="22"/>
        </w:rPr>
        <w:t xml:space="preserve">偏弱下行（主观权重中等，约三成左右；该权重为主观启发式判断，不是统计概率）：参考价格带为118—125元。触发条件是收盘有效跌破123元附近且单日成交额明显高于近期均值，或电子特气、半导体材料等相关板块同步走弱。若放量跌破123元附近，可能向118—121元区域寻求支撑。</w:t>
      </w:r>
    </w:p>
    <w:p>
      <w:pPr>
        <w:pStyle w:val="ListParagraph"/>
        <w:numPr>
          <w:ilvl w:val="0"/>
          <w:numId w:val="2"/>
        </w:numPr>
        <w:spacing w:after="80" w:line="280"/>
      </w:pPr>
      <w:r>
        <w:rPr>
          <w:sz w:val="22"/>
          <w:szCs w:val="22"/>
        </w:rPr>
        <w:t xml:space="preserve">反弹走强（主观权重偏低，约一成至两成；该权重为主观启发式判断，不是统计概率）：参考价格带为134—146元。触发条件是重新站上134—138元压力区且成交额连续放大，至少明显高于近期正常水平，同时MACD绿柱收敛、RSI回升，并有电子特气板块同步走强或公司新的明确催化。即使反弹，上方138—146元仍存在多重均线和筹码压力，趋势修复需要成交量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日换手率为2.90%、3.51%、3.12%、2.12%、3.05%，均值约2.94%；近5日成交额约3.53亿—5.97亿元，9月11日约4.92亿元，而9月1日曾达到约14.93亿元，近期活跃度较放量日明显回落。融资余额截至2026年9月9日约9.59亿元，占流通市值约5.75%。股东结构方面，截至2026年6月30日，前十大流通股东合计持有约6343.59万股，占流通股约49.69%；第一大股东广东华特投资有限公司持股约20.86%，石平湘、张穗华、石思慧等股东亦位列前列。全国社保基金五零三组合持股约0.78%，UBS AG持股约0.73%，均为新进入前十大流通股东；同时存在厦门华弘多福、华和多福、华进多福等投资合伙企业。上述股东数据为2026年6月30日时点，存在披露滞后，不能代表2026年9月11日的实时结构。结合近期成交额下降、大单净流出和融资余额占比，市场存在一定承接但尚未形成明确的强资金回流结构；在成交活跃度下降时，短线价格对资金进出可能更敏感，实际滑点和盘口深度情况仍需结合盘中数据观察。</w:t>
      </w:r>
    </w:p>
    <w:p>
      <w:pPr>
        <w:spacing w:after="160" w:line="300"/>
      </w:pPr>
      <w:r>
        <w:rPr>
          <w:sz w:val="22"/>
          <w:szCs w:val="22"/>
        </w:rPr>
        <w:t xml:space="preserve">可检查的量能确认信号是：若后续单日成交额能够连续达到6.5亿元以上，并且收盘重新站上134—138元压力区，可视为资金重新介入和突破有效性增强的观察信号；若放量但收盘仍跌破123元，则更接近放量出逃而非健康换手。</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观察思路，非操作指令：关注123—125元支撑区能否出现缩量止跌和下影线承接。</w:t>
      </w:r>
    </w:p>
    <w:p>
      <w:pPr>
        <w:pStyle w:val="ListParagraph"/>
        <w:numPr>
          <w:ilvl w:val="0"/>
          <w:numId w:val="2"/>
        </w:numPr>
        <w:spacing w:after="80" w:line="280"/>
      </w:pPr>
      <w:r>
        <w:rPr>
          <w:sz w:val="22"/>
          <w:szCs w:val="22"/>
        </w:rPr>
        <w:t xml:space="preserve">观察思路，非操作指令：关注133—138元压力区能否被放量突破并收盘站稳。</w:t>
      </w:r>
    </w:p>
    <w:p>
      <w:pPr>
        <w:pStyle w:val="ListParagraph"/>
        <w:numPr>
          <w:ilvl w:val="0"/>
          <w:numId w:val="2"/>
        </w:numPr>
        <w:spacing w:after="80" w:line="280"/>
      </w:pPr>
      <w:r>
        <w:rPr>
          <w:sz w:val="22"/>
          <w:szCs w:val="22"/>
        </w:rPr>
        <w:t xml:space="preserve">观察思路，非操作指令：关注大单资金是否由近5日净流出转为连续净流入。</w:t>
      </w:r>
    </w:p>
    <w:p>
      <w:pPr>
        <w:pStyle w:val="ListParagraph"/>
        <w:numPr>
          <w:ilvl w:val="0"/>
          <w:numId w:val="2"/>
        </w:numPr>
        <w:spacing w:after="80" w:line="280"/>
      </w:pPr>
      <w:r>
        <w:rPr>
          <w:sz w:val="22"/>
          <w:szCs w:val="22"/>
        </w:rPr>
        <w:t xml:space="preserve">观察思路，非操作指令：关注成交额能否持续放大至6.5亿元以上，同时价格不再创新低。</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电子特气是半导体制造、显示面板、光伏和第三代半导体的重要材料，具有品种多、纯度要求高、客户认证周期长、运输及安全要求高等特点。全球市场长期由林德集团、液化空气集团、日本酸素控股、空气产品公司以及部分半导体材料企业主导。公司2024年年报称，全球电子特气市场和中国高端特气市场仍有较高外资占比，国内企业整体市场份额相对有限。</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产替代仍在持续。研究纪要援引公司年报称，国内能够生产的集成电路用电子特气品种不足三成，高端产品仍存在进口依赖；华特气体、金宏气体、南大光电、雅克科技和中船特气等企业已在部分产品上实现突破。</w:t>
      </w:r>
    </w:p>
    <w:p>
      <w:pPr>
        <w:pStyle w:val="ListParagraph"/>
        <w:numPr>
          <w:ilvl w:val="0"/>
          <w:numId w:val="2"/>
        </w:numPr>
        <w:spacing w:after="80" w:line="280"/>
      </w:pPr>
      <w:r>
        <w:rPr>
          <w:sz w:val="22"/>
          <w:szCs w:val="22"/>
        </w:rPr>
        <w:t xml:space="preserve">行业集中度不高。电子特气品种众多，不同企业往往在氟碳类、氢化物、光刻气、含氟气体、超纯氨和三氟化氮等细分领域形成差异化竞争，不存在一家企业覆盖全部产品的局面。</w:t>
      </w:r>
    </w:p>
    <w:p>
      <w:pPr>
        <w:pStyle w:val="ListParagraph"/>
        <w:numPr>
          <w:ilvl w:val="0"/>
          <w:numId w:val="2"/>
        </w:numPr>
        <w:spacing w:after="80" w:line="280"/>
      </w:pPr>
      <w:r>
        <w:rPr>
          <w:sz w:val="22"/>
          <w:szCs w:val="22"/>
        </w:rPr>
        <w:t xml:space="preserve">竞争模式正由技术认证竞争逐步转向技术、成本、规模和供应稳定性的综合竞争。2025年国内新增产能逐步释放，氟碳类产品价格承压，行业出现需求增长但价格中枢下移、销量增长与利润增长背离。</w:t>
      </w:r>
    </w:p>
    <w:p>
      <w:pPr>
        <w:pStyle w:val="ListParagraph"/>
        <w:numPr>
          <w:ilvl w:val="0"/>
          <w:numId w:val="2"/>
        </w:numPr>
        <w:spacing w:after="80" w:line="280"/>
      </w:pPr>
      <w:r>
        <w:rPr>
          <w:sz w:val="22"/>
          <w:szCs w:val="22"/>
        </w:rPr>
        <w:t xml:space="preserve">下游客户对本地化供应需求增强。晶圆厂和显示面板厂更加重视持续供货、短运输半径、本地仓储、应急响应和供应链安全，多基地布局和本地化服务能力有利于企业获得客户认证和订单。</w:t>
      </w:r>
    </w:p>
    <w:p>
      <w:pPr>
        <w:pStyle w:val="ListParagraph"/>
        <w:numPr>
          <w:ilvl w:val="0"/>
          <w:numId w:val="2"/>
        </w:numPr>
        <w:spacing w:after="80" w:line="280"/>
      </w:pPr>
      <w:r>
        <w:rPr>
          <w:sz w:val="22"/>
          <w:szCs w:val="22"/>
        </w:rPr>
        <w:t xml:space="preserve">行业长期受益于半导体国产化和电子特气进口替代，但短期面临国内扩产、产品同质化、价格竞争和下游晶圆厂降本等压力。</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金宏气体（688106）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国内综合气体供应商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覆盖普通工业气体、电子大宗气体和电子特种气体，综合工业气体和现场制气业务较强；与华特气体在电子气体和工业气体领域存在重叠。华特气体相对更突出电子特气品类、光刻混合气和多品类一站式供应。</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南大光电（300346）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先进电子材料企业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布局电子特气、前驱体材料和光刻胶配套材料，磷烷、砷烷、三氟化氮等产品具有竞争力；相较之下，华特气体产品谱系更宽，在光刻气、氟碳类及多品类供气服务方面具有差异化。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雅克科技（002409）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半导体材料平台型企业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主营半导体化学材料、电子特种气体、光刻胶及配套材料、硅微粉和阻燃剂等，电子特气是其多元化业务的一部分；华特气体业务集中度更高，核心更聚焦特种气体。</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中船特气（688146）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电子特种气体专业企业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聚焦电子特种气体，三氟化氮、六氟化钨等产品具有规模和客户基础优势，在显示面板及半导体相关气体领域与华特气体存在直接竞争；华特气体更强调产品品类广度、光刻混合气、气瓶处理及一站式服务。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凯美特气（002549）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工业尾气综合利用型气体企业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主要利用工业尾气资源发展食品级、电子级和高纯气体，电子特气、光刻气和稀有气体是重点布局方向之一；华特气体优势更多来自特气研发、客户认证、产品品类和高纯供气服务。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昊华科技（600378）、正帆科技（688596）、和远气体（002971）、广钢气体（688548）、侨源股份（301286）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电子特气、工业气体或高纯气体供应链相关企业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与华特气体形成部分竞争，但业务重合程度因产品和地区不同而有所差异。</w:t>
            </w:r>
          </w:p>
        </w:tc>
      </w:tr>
    </w:tbl>
    <w:p>
      <w:pPr>
        <w:spacing w:before="200"/>
      </w:pPr>
    </w:p>
    <w:p>
      <w:pPr>
        <w:spacing w:after="160" w:line="300"/>
      </w:pPr>
      <w:r>
        <w:rPr>
          <w:sz w:val="22"/>
          <w:szCs w:val="22"/>
        </w:rPr>
        <w:t xml:space="preserve">华特气体相较金宏气体更突出电子特气品类、光刻混合气及多品类一站式供应；相较南大光电和中船特气，产品谱系更宽，并强调气瓶处理、混配和供气服务；相较雅克科技，业务更聚焦特种气体而非多元半导体材料平台；相较凯美特气，核心优势更多来自特气研发、客户认证、纯化工艺和供应服务。公司的竞争壁垒主要来自超过57种进口替代产品、客户认证和供应稳定性，但相关客户覆盖率、先进制程覆盖及部分市场地位数据主要为公司自披露或评级报告信息，未能全部通过独立第三方逐项交叉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传统氟碳类产品面临国内新增产能释放和下游客户降本压力，2025年已出现价格下行；若价格中枢继续下移，可能导致销量增长无法同步转化为毛利和净利润增长。</w:t>
      </w:r>
    </w:p>
    <w:p>
      <w:pPr>
        <w:pStyle w:val="ListParagraph"/>
        <w:numPr>
          <w:ilvl w:val="0"/>
          <w:numId w:val="2"/>
        </w:numPr>
        <w:spacing w:after="80" w:line="280"/>
      </w:pPr>
      <w:r>
        <w:rPr>
          <w:sz w:val="22"/>
          <w:szCs w:val="22"/>
        </w:rPr>
        <w:t xml:space="preserve">公司部分氢化物产品需求阶段性走弱，且氦气及相关产品上半年收入同比增长133%与供需格局变化、产品价格上涨有关；若氦气价格或供需条件变化，相关业务增长和利润贡献可能出现波动。</w:t>
      </w:r>
    </w:p>
    <w:p>
      <w:pPr>
        <w:pStyle w:val="ListParagraph"/>
        <w:numPr>
          <w:ilvl w:val="0"/>
          <w:numId w:val="2"/>
        </w:numPr>
        <w:spacing w:after="80" w:line="280"/>
      </w:pPr>
      <w:r>
        <w:rPr>
          <w:sz w:val="22"/>
          <w:szCs w:val="22"/>
        </w:rPr>
        <w:t xml:space="preserve">公司拟向特定对象发行不超过3830.46万股、募集资金不超过7亿元，用于江苏华特半导体材料生产基地及补充流动资金；该方案仍需股东会、上交所审核及中国证监会注册，发行规模、时间、项目建设进度和投资收益均存在不确定性。</w:t>
      </w:r>
    </w:p>
    <w:p>
      <w:pPr>
        <w:pStyle w:val="ListParagraph"/>
        <w:numPr>
          <w:ilvl w:val="0"/>
          <w:numId w:val="2"/>
        </w:numPr>
        <w:spacing w:after="80" w:line="280"/>
      </w:pPr>
      <w:r>
        <w:rPr>
          <w:sz w:val="22"/>
          <w:szCs w:val="22"/>
        </w:rPr>
        <w:t xml:space="preserve">若按定向增发数量上限发行，公司股本将明显扩张，短期可能对每股收益形成摊薄；同时，募投项目尚未形成新增产能和利润，不能提前计入业绩预期。</w:t>
      </w:r>
    </w:p>
    <w:p>
      <w:pPr>
        <w:pStyle w:val="ListParagraph"/>
        <w:numPr>
          <w:ilvl w:val="0"/>
          <w:numId w:val="2"/>
        </w:numPr>
        <w:spacing w:after="80" w:line="280"/>
      </w:pPr>
      <w:r>
        <w:rPr>
          <w:sz w:val="22"/>
          <w:szCs w:val="22"/>
        </w:rPr>
        <w:t xml:space="preserve">公司截至2025年末应收账款账面价值3.67亿元，约为当年营业收入的25.9%和归母净利润的2.7倍，静态折算约为94天收入；应收账款明显高于应付账款和合同负债，若下游客户账期延长或回款放缓，可能加大营运资金占用和现金流压力。</w:t>
      </w:r>
    </w:p>
    <w:p>
      <w:pPr>
        <w:pStyle w:val="ListParagraph"/>
        <w:numPr>
          <w:ilvl w:val="0"/>
          <w:numId w:val="2"/>
        </w:numPr>
        <w:spacing w:after="80" w:line="280"/>
      </w:pPr>
      <w:r>
        <w:rPr>
          <w:sz w:val="22"/>
          <w:szCs w:val="22"/>
        </w:rPr>
        <w:t xml:space="preserve">公司对基础气体、化工原料、钢瓶、阀门及运输等上游环节不具备绝对定价权，普通工业气体业务对原料、能源、运输和区域供需较敏感；原材料或能源成本上升而产品价格无法同步传导时，可能压缩盈利空间。</w:t>
      </w:r>
    </w:p>
    <w:p>
      <w:pPr>
        <w:pStyle w:val="ListParagraph"/>
        <w:numPr>
          <w:ilvl w:val="0"/>
          <w:numId w:val="2"/>
        </w:numPr>
        <w:spacing w:after="80" w:line="280"/>
      </w:pPr>
      <w:r>
        <w:rPr>
          <w:sz w:val="22"/>
          <w:szCs w:val="22"/>
        </w:rPr>
        <w:t xml:space="preserve">截至2026年9月11日，公司股价按TTM口径PE约101—108倍、PB约6倍，估值对高附加值产品放量、产能爬坡和利润修复高度敏感；若业绩低于机构预期，可能面临估值和股价同步调整压力。</w:t>
      </w:r>
    </w:p>
    <w:p>
      <w:pPr>
        <w:pStyle w:val="ListParagraph"/>
        <w:numPr>
          <w:ilvl w:val="0"/>
          <w:numId w:val="2"/>
        </w:numPr>
        <w:spacing w:after="80" w:line="280"/>
      </w:pPr>
      <w:r>
        <w:rPr>
          <w:sz w:val="22"/>
          <w:szCs w:val="22"/>
        </w:rPr>
        <w:t xml:space="preserve">厦门华弘多福、华和多福、华进多福拟在2026年9月28日至12月27日期间通过大宗交易合计减持不超过255.30万股，占总股本不超过约2.01%；若减持实施，可能增加阶段性市场供给压力。</w:t>
      </w:r>
    </w:p>
    <w:p>
      <w:pPr>
        <w:pStyle w:val="ListParagraph"/>
        <w:numPr>
          <w:ilvl w:val="0"/>
          <w:numId w:val="2"/>
        </w:numPr>
        <w:spacing w:after="80" w:line="280"/>
      </w:pPr>
      <w:r>
        <w:rPr>
          <w:sz w:val="22"/>
          <w:szCs w:val="22"/>
        </w:rPr>
        <w:t xml:space="preserve">公司客户主要为半导体、显示面板及大型制造企业，前五大客户2025年销售额占营业收入约22.51%，下游客户具有较强采购和付款议价能力；若主要客户认证、订单或回款节奏变化，可能影响收入确认和应收账款规模。</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短期增长动能已出现修复，半导体业务、光刻混合气体、氟碳类气体及氦气相关业务的放量，为收入和利润恢复提供支撑；经营性现金流增速高于净利润增速，也显示经营质量有所改善。中长期看，超过57种进口替代产品、较宽的特气品类、客户认证壁垒以及江苏基地规划，有望增强公司在半导体材料和电子特气领域的产能布局与供应能力。</w:t>
      </w:r>
    </w:p>
    <w:p>
      <w:pPr>
        <w:spacing w:after="160" w:line="300"/>
      </w:pPr>
      <w:r>
        <w:rPr>
          <w:sz w:val="22"/>
          <w:szCs w:val="22"/>
        </w:rPr>
        <w:t xml:space="preserve">后续业绩能否持续改善，取决于氦气、锗烷等高附加值产品放量速度，电子特气新品客户认证及订单转化，江苏基地建设和产能爬坡进度，以及传统氟碳类产品价格竞争能否缓解。机构对2026—2028年利润增长总体较为积极，但预测区间较宽，且2026年利润增长包含2025年低基数因素，不能简单视为长期稳定增速。</w:t>
      </w:r>
    </w:p>
    <w:p>
      <w:pPr>
        <w:spacing w:after="160" w:line="300"/>
      </w:pPr>
      <w:r>
        <w:rPr>
          <w:sz w:val="22"/>
          <w:szCs w:val="22"/>
        </w:rPr>
        <w:t xml:space="preserve">公司当前估值和技术面均反映出较高的预期与较大的波动敏感性。未来需要同时观察收入增长能否转化为利润增长、毛利率是否企稳、募投项目能否按计划实施，以及再融资摊薄和股东减持对每股收益与市场供给的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https://epaper.stcn.com/pic/202604/10/6db9d520cbda2f13d6b70851aa4711ca.pdf?u_asig=5e0d5&amp;u_atoken=6ca854e6803df5fdb0b063940163ec21 — https://epaper.stcn.com/pic/202604/10/6db9d520cbda2f13d6b70851aa4711ca.pdf?u_asig=5e0d5&amp;u_atoken=6ca854e6803df5fdb0b063940163ec21</w:t>
      </w:r>
    </w:p>
    <w:p>
      <w:pPr>
        <w:spacing w:after="200"/>
      </w:pPr>
      <w:r>
        <w:rPr>
          <w:i/>
          <w:iCs/>
          <w:color w:val="595959"/>
          <w:sz w:val="18"/>
          <w:szCs w:val="18"/>
        </w:rPr>
        <w:t xml:space="preserve">广东华特气体股份有限公司2025年年度报告 — https://static.cninfo.com.cn/finalpage/2026-04-10/1225090204.PDF</w:t>
      </w:r>
    </w:p>
    <w:p>
      <w:pPr>
        <w:spacing w:after="200"/>
      </w:pPr>
      <w:r>
        <w:rPr>
          <w:i/>
          <w:iCs/>
          <w:color w:val="595959"/>
          <w:sz w:val="18"/>
          <w:szCs w:val="18"/>
        </w:rPr>
        <w:t xml:space="preserve">华特气体(688268)_公司公告_华特气体：2023年广东华特气体股份有限公司向不特定对象发行可转换公司债券2024年跟踪评级报告新浪财经_新浪网 — https://vip.stock.finance.sina.com.cn/corp/view/vCB_AllBulletinDetail.php?id=10282277&amp;stockid=688268&amp;utm_source=openai</w:t>
      </w:r>
    </w:p>
    <w:p>
      <w:pPr>
        <w:spacing w:after="200"/>
      </w:pPr>
      <w:r>
        <w:rPr>
          <w:i/>
          <w:iCs/>
          <w:color w:val="595959"/>
          <w:sz w:val="18"/>
          <w:szCs w:val="18"/>
        </w:rPr>
        <w:t xml:space="preserve">华特气体(688268)_公司公告_华特气体：中信建投证券股份有限公司关于广东华特气体股份有限公司向不特定对象发行可转换公司债券2024年第一次临时受托管理事务报告新浪财经_新浪网 — https://vip.stock.finance.sina.com.cn/corp/view/vCB_AllBulletinDetail.php?id=10361963&amp;stockid=688268&amp;utm_source=openai</w:t>
      </w:r>
    </w:p>
    <w:p>
      <w:pPr>
        <w:spacing w:after="200"/>
      </w:pPr>
      <w:r>
        <w:rPr>
          <w:i/>
          <w:iCs/>
          <w:color w:val="595959"/>
          <w:sz w:val="18"/>
          <w:szCs w:val="18"/>
        </w:rPr>
        <w:t xml:space="preserve">证券代码：688268        证券简称：华特气体        公告编号：2024-064 — https://big5.sse.com.cn/site/cht/www.sse.com.cn/disclosure/listedinfo/announcement/c/new/2024-08-01/688268_20240801_FEJV.pdf?utm_source=openai</w:t>
      </w:r>
    </w:p>
    <w:p>
      <w:pPr>
        <w:spacing w:after="200"/>
      </w:pPr>
      <w:r>
        <w:rPr>
          <w:i/>
          <w:iCs/>
          <w:color w:val="595959"/>
          <w:sz w:val="18"/>
          <w:szCs w:val="18"/>
        </w:rPr>
        <w:t xml:space="preserve">华特气体(688268)_公司公告_华特气体：2024年年度报告摘要新浪财经_新浪网 — https://money.finance.sina.com.cn/corp/view/vCB_AllBulletinDetail.php?id=10857814&amp;stockid=688268&amp;utm_source=openai</w:t>
      </w:r>
    </w:p>
    <w:p>
      <w:pPr>
        <w:spacing w:after="200"/>
      </w:pPr>
      <w:r>
        <w:rPr>
          <w:i/>
          <w:iCs/>
          <w:color w:val="595959"/>
          <w:sz w:val="18"/>
          <w:szCs w:val="18"/>
        </w:rPr>
        <w:t xml:space="preserve">华特气体(688268) 经营分析_F10_同花顺金融服务网 — https://basic.10jqka.com.cn/688268/operate.html?utm_source=openai</w:t>
      </w:r>
    </w:p>
    <w:p>
      <w:pPr>
        <w:spacing w:after="200"/>
      </w:pPr>
      <w:r>
        <w:rPr>
          <w:i/>
          <w:iCs/>
          <w:color w:val="595959"/>
          <w:sz w:val="18"/>
          <w:szCs w:val="18"/>
        </w:rPr>
        <w:t xml:space="preserve">公司公告_华特气体：2022年年度报告新浪财经_新浪网 — https://vip.stock.finance.sina.com.cn/corp/view/vCB_AllBulletinDetail.php?id=9149443&amp;utm_source=openai</w:t>
      </w:r>
    </w:p>
    <w:p>
      <w:pPr>
        <w:spacing w:after="200"/>
      </w:pPr>
      <w:r>
        <w:rPr>
          <w:i/>
          <w:iCs/>
          <w:color w:val="595959"/>
          <w:sz w:val="18"/>
          <w:szCs w:val="18"/>
        </w:rPr>
        <w:t xml:space="preserve">华特气体：2023年净利同比下降17.18% 拟10派5元_新浪财经_新浪网 — https://finance.sina.com.cn/stock/relnews/cn/2024-04-12/doc-inarpshx9228585.shtml?utm_source=openai</w:t>
      </w:r>
    </w:p>
    <w:p>
      <w:pPr>
        <w:spacing w:after="200"/>
      </w:pPr>
      <w:r>
        <w:rPr>
          <w:i/>
          <w:iCs/>
          <w:color w:val="595959"/>
          <w:sz w:val="18"/>
          <w:szCs w:val="18"/>
        </w:rPr>
        <w:t xml:space="preserve">公司公告_华特气体：2024年年度报告新浪财经_新浪网 — https://vip.stock.finance.sina.com.cn/corp/view/vCB_AllBulletinDetail.php?id=10857812&amp;utm_source=openai</w:t>
      </w:r>
    </w:p>
    <w:p>
      <w:pPr>
        <w:spacing w:after="200"/>
      </w:pPr>
      <w:r>
        <w:rPr>
          <w:i/>
          <w:iCs/>
          <w:color w:val="595959"/>
          <w:sz w:val="18"/>
          <w:szCs w:val="18"/>
        </w:rPr>
        <w:t xml:space="preserve">华特气体(688268)_公司公告_华特气体：2024年年度报告新浪财经_新浪网 — https://money.finance.sina.com.cn/corp/view/vCB_AllBulletinDetail.php?id=10857812&amp;stockid=688268&amp;utm_source=openai</w:t>
      </w:r>
    </w:p>
    <w:p>
      <w:pPr>
        <w:spacing w:after="200"/>
      </w:pPr>
      <w:r>
        <w:rPr>
          <w:i/>
          <w:iCs/>
          <w:color w:val="595959"/>
          <w:sz w:val="18"/>
          <w:szCs w:val="18"/>
        </w:rPr>
        <w:t xml:space="preserve">股份有限公司2024年年度报告 — https://static.cninfo.com.cn/finalpage/2025-04-10/1223044762.PDF?utm_source=openai</w:t>
      </w:r>
    </w:p>
    <w:p>
      <w:pPr>
        <w:spacing w:after="200"/>
      </w:pPr>
      <w:r>
        <w:rPr>
          <w:i/>
          <w:iCs/>
          <w:color w:val="595959"/>
          <w:sz w:val="18"/>
          <w:szCs w:val="18"/>
        </w:rPr>
        <w:t xml:space="preserve">中国电子特种气体行业发展现状研究与投资前景分析报告（2024-2031年）_观研报告网 — https://www.chinabaogao.com/baogao/202403/697433.html?utm_source=openai</w:t>
      </w:r>
    </w:p>
    <w:p>
      <w:pPr>
        <w:spacing w:after="200"/>
      </w:pPr>
      <w:r>
        <w:rPr>
          <w:i/>
          <w:iCs/>
          <w:color w:val="595959"/>
          <w:sz w:val="18"/>
          <w:szCs w:val="18"/>
        </w:rPr>
        <w:t xml:space="preserve">电子特气行业竞争格局及市场规模预测分析_中研普华_中研网 — https://www.chinairn.com/scfx/20240312/145223560.shtml?utm_source=openai</w:t>
      </w:r>
    </w:p>
    <w:p>
      <w:pPr>
        <w:spacing w:after="200"/>
      </w:pPr>
      <w:r>
        <w:rPr>
          <w:i/>
          <w:iCs/>
          <w:color w:val="595959"/>
          <w:sz w:val="18"/>
          <w:szCs w:val="18"/>
        </w:rPr>
        <w:t xml:space="preserve">广东华特气体股份有限公司　　　　　　　　　　　　　　　　　　　　　　　　　募集说明书 — https://static.sse.com.cn/stock/disclosure/announcement/c/202207/688268_20220707_KWMW.pdf?utm_source=openai</w:t>
      </w:r>
    </w:p>
    <w:p>
      <w:pPr>
        <w:spacing w:after="200"/>
      </w:pPr>
      <w:r>
        <w:rPr>
          <w:i/>
          <w:iCs/>
          <w:color w:val="595959"/>
          <w:sz w:val="18"/>
          <w:szCs w:val="18"/>
        </w:rPr>
        <w:t xml:space="preserve">2026年中国特种气体行业重点上市企业对比分析：均将“扩产能、丰富高端品类、推进国产化替代、布局海外”作为未来发展主线[图]_智研咨询 — https://www.chyxx.com/industry/1279231.html?utm_source=openai</w:t>
      </w:r>
    </w:p>
    <w:p>
      <w:pPr>
        <w:spacing w:after="200"/>
      </w:pPr>
      <w:r>
        <w:rPr>
          <w:i/>
          <w:iCs/>
          <w:color w:val="595959"/>
          <w:sz w:val="18"/>
          <w:szCs w:val="18"/>
        </w:rPr>
        <w:t xml:space="preserve">2025年中国电子特气行业产业、市场规模、竞争格局及发展前景分析：国内企业加速追赶国际先进水平，行业国产化率有望持续提升[图]|特种气体|华特气体|金宏气体|南大光电|雅克科技_手机新浪网 — https://finance.sina.cn/2025-04-04/detail-ineryeay7632108.d.html?vt=4&amp;utm_source=openai</w:t>
      </w:r>
    </w:p>
    <w:p>
      <w:pPr>
        <w:spacing w:after="200"/>
      </w:pPr>
      <w:r>
        <w:rPr>
          <w:i/>
          <w:iCs/>
          <w:color w:val="595959"/>
          <w:sz w:val="18"/>
          <w:szCs w:val="18"/>
        </w:rPr>
        <w:t xml:space="preserve">干货！2021年中国电子特种气体行业龙头企业对比：金宏气体PK华特气体 谁是中国“电子特气之王”？_行业研究报告 - 前瞻网 — https://www.qianzhan.com/analyst/detail/220/211210-6212848a.html?utm_source=openai</w:t>
      </w:r>
    </w:p>
    <w:p>
      <w:pPr>
        <w:spacing w:after="200"/>
      </w:pPr>
      <w:r>
        <w:rPr>
          <w:i/>
          <w:iCs/>
          <w:color w:val="595959"/>
          <w:sz w:val="18"/>
          <w:szCs w:val="18"/>
        </w:rPr>
        <w:t xml:space="preserve">华特气体(688268)_股票行情，行情首页_中财网 — https://quote.cfi.cn/quote.aspx?client=pc&amp;lm=zyfb&amp;stockid=91335</w:t>
      </w:r>
    </w:p>
    <w:p>
      <w:pPr>
        <w:spacing w:after="200"/>
      </w:pPr>
      <w:r>
        <w:rPr>
          <w:i/>
          <w:iCs/>
          <w:color w:val="595959"/>
          <w:sz w:val="18"/>
          <w:szCs w:val="18"/>
        </w:rPr>
        <w:t xml:space="preserve">华特气体(688268)_公司公告_华特气体：2026年半年度报告新浪财经_新浪网 — https://money.finance.sina.com.cn/corp/view/vCB_AllBulletinDetail.php?id=12532790&amp;stockid=688268</w:t>
      </w:r>
    </w:p>
    <w:p>
      <w:pPr>
        <w:spacing w:after="200"/>
      </w:pPr>
      <w:r>
        <w:rPr>
          <w:i/>
          <w:iCs/>
          <w:color w:val="595959"/>
          <w:sz w:val="18"/>
          <w:szCs w:val="18"/>
        </w:rPr>
        <w:t xml:space="preserve">公司公告_华特气体：2025年年度报告新浪财经_新浪网 — https://vip.stock.finance.sina.com.cn/corp/view/vCB_AllBulletinDetail.php?id=12073909&amp;utm_source=openai</w:t>
      </w:r>
    </w:p>
    <w:p>
      <w:pPr>
        <w:spacing w:after="200"/>
      </w:pPr>
      <w:r>
        <w:rPr>
          <w:i/>
          <w:iCs/>
          <w:color w:val="595959"/>
          <w:sz w:val="18"/>
          <w:szCs w:val="18"/>
        </w:rPr>
        <w:t xml:space="preserve">华特气体(688268) 盈利预测_F10_同花顺金融服务网 — https://basic.10jqka.com.cn/688268/worth.html</w:t>
      </w:r>
    </w:p>
    <w:p>
      <w:pPr>
        <w:spacing w:after="200"/>
      </w:pPr>
      <w:r>
        <w:rPr>
          <w:i/>
          <w:iCs/>
          <w:color w:val="595959"/>
          <w:sz w:val="18"/>
          <w:szCs w:val="18"/>
        </w:rPr>
        <w:t xml:space="preserve">华特气体(688268) 盈利预测_F10_同花顺金融服务网 — https://basic.10jqka.com.cn/688268/worth.html?utm_source=openai</w:t>
      </w:r>
    </w:p>
    <w:p>
      <w:pPr>
        <w:spacing w:after="200"/>
      </w:pPr>
      <w:r>
        <w:rPr>
          <w:i/>
          <w:iCs/>
          <w:color w:val="595959"/>
          <w:sz w:val="18"/>
          <w:szCs w:val="18"/>
        </w:rPr>
        <w:t xml:space="preserve">华特气体(688268)年报点评：核心技术攻关与新产品产业化加速 市场拓展与客户结构深化__新浪财经_新浪网 — https://stock.finance.sina.com.cn/stock/go.php/vReport_Show/kind/search/rptid/829479661460/index.phtml?utm_source=openai</w:t>
      </w:r>
    </w:p>
    <w:p>
      <w:pPr>
        <w:spacing w:after="200"/>
      </w:pPr>
      <w:r>
        <w:rPr>
          <w:i/>
          <w:iCs/>
          <w:color w:val="595959"/>
          <w:sz w:val="18"/>
          <w:szCs w:val="18"/>
        </w:rPr>
        <w:t xml:space="preserve">华特气体(688268)股票分析师一致预期_市场情绪_英为财情Investing.com — https://cn.investing.com/equities/guangdong-huate-gas-consensus-estimates?utm_source=openai</w:t>
      </w:r>
    </w:p>
    <w:p>
      <w:pPr>
        <w:spacing w:after="200"/>
      </w:pPr>
      <w:r>
        <w:rPr>
          <w:i/>
          <w:iCs/>
          <w:color w:val="595959"/>
          <w:sz w:val="18"/>
          <w:szCs w:val="18"/>
        </w:rPr>
        <w:t xml:space="preserve">华特气体(688268)股票历史数据:历史行情,价格,走势图表_英为财情Investing.com — https://cn.investing.com/equities/guangdong-huate-gas-historical-data?utm_source=openai</w:t>
      </w:r>
    </w:p>
    <w:p>
      <w:pPr>
        <w:spacing w:after="200"/>
      </w:pPr>
      <w:r>
        <w:rPr>
          <w:i/>
          <w:iCs/>
          <w:color w:val="595959"/>
          <w:sz w:val="18"/>
          <w:szCs w:val="18"/>
        </w:rPr>
        <w:t xml:space="preserve">华特气体(688268)_公司公告_华特气体：2026年度向特定对象发行A股股票预案新浪财经_新浪网 — https://money.finance.sina.com.cn/corp/view/vCB_AllBulletinDetail.php?id=12573869&amp;stockid=688268&amp;utm_source=openai</w:t>
      </w:r>
    </w:p>
    <w:p>
      <w:pPr>
        <w:spacing w:after="200"/>
      </w:pPr>
      <w:r>
        <w:rPr>
          <w:i/>
          <w:iCs/>
          <w:color w:val="595959"/>
          <w:sz w:val="18"/>
          <w:szCs w:val="18"/>
        </w:rPr>
        <w:t xml:space="preserve">华特气体(688268)业绩预告_新浪财经_新浪网 — https://vip.stock.finance.sina.com.cn/corp/go.php/vFD_AchievementNotice/stockid/688268.phtml?utm_source=openai</w:t>
      </w:r>
    </w:p>
    <w:p>
      <w:pPr>
        <w:spacing w:after="200"/>
      </w:pPr>
      <w:r>
        <w:rPr>
          <w:i/>
          <w:iCs/>
          <w:color w:val="595959"/>
          <w:sz w:val="18"/>
          <w:szCs w:val="18"/>
        </w:rPr>
        <w:t xml:space="preserve">华特气体(688268)_公司公告_华特气体：2026年半年度报告新浪财经_新浪网 — https://vip.stock.finance.sina.com.cn/corp/view/vCB_AllBulletinDetail.php?id=12532790&amp;stockid=688268&amp;utm_source=openai</w:t>
      </w:r>
    </w:p>
    <w:p>
      <w:pPr>
        <w:spacing w:after="200"/>
      </w:pPr>
      <w:r>
        <w:rPr>
          <w:i/>
          <w:iCs/>
          <w:color w:val="595959"/>
          <w:sz w:val="18"/>
          <w:szCs w:val="18"/>
        </w:rPr>
        <w:t xml:space="preserve">华特气体(688268)_公司公告_华特气体：2026年度“提质增效重回报”行动方案的半年度评估报告新浪财经_新浪网 — https://money.finance.sina.com.cn/corp/view/vCB_AllBulletinDetail.php?id=12532789&amp;stockid=688268&amp;utm_source=openai</w:t>
      </w:r>
    </w:p>
    <w:p>
      <w:pPr>
        <w:spacing w:after="200"/>
      </w:pPr>
      <w:r>
        <w:rPr>
          <w:i/>
          <w:iCs/>
          <w:color w:val="595959"/>
          <w:sz w:val="18"/>
          <w:szCs w:val="18"/>
        </w:rPr>
        <w:t xml:space="preserve">公司公告_华特气体：2026年度向特定对象发行A股股票募集资金使用可行性分析报告新浪财经_新浪网 — https://vip.stock.finance.sina.com.cn/corp/view/vCB_AllBulletinDetail.php?id=12573872&amp;stockid=&amp;utm_source=openai</w:t>
      </w:r>
    </w:p>
    <w:p>
      <w:pPr>
        <w:spacing w:after="200"/>
      </w:pPr>
      <w:r>
        <w:rPr>
          <w:i/>
          <w:iCs/>
          <w:color w:val="595959"/>
          <w:sz w:val="18"/>
          <w:szCs w:val="18"/>
        </w:rPr>
        <w:t xml:space="preserve">华特气体(688268)_公司公告_华特气体：关于2026年度向特定对象发行A股股票摊薄即期回报及填补回报措施和相关主体承诺的公告新浪财经_新浪网 — https://vip.stock.finance.sina.com.cn/corp/view/vCB_AllBulletinDetail.php?CompanyCode=80383979&amp;gather=1&amp;id=12573877&amp;utm_source=openai</w:t>
      </w:r>
    </w:p>
    <w:p>
      <w:pPr>
        <w:spacing w:after="200"/>
      </w:pPr>
      <w:r>
        <w:rPr>
          <w:i/>
          <w:iCs/>
          <w:color w:val="595959"/>
          <w:sz w:val="18"/>
          <w:szCs w:val="18"/>
        </w:rPr>
        <w:t xml:space="preserve">华特气体: 广东华特气体股份有限公司股东及高级管理人员减持股份结果公告_股票频道_证券之星 — https://stock.stockstar.com/notice/SN2026091000001143.shtml?utm_source=openai</w:t>
      </w:r>
    </w:p>
    <w:p>
      <w:pPr>
        <w:spacing w:after="200"/>
      </w:pPr>
      <w:r>
        <w:rPr>
          <w:i/>
          <w:iCs/>
          <w:color w:val="595959"/>
          <w:sz w:val="18"/>
          <w:szCs w:val="18"/>
        </w:rPr>
        <w:t xml:space="preserve">华特气体(688268)_公司公告_华特气体：股东减持股份计划公告新浪财经_新浪网 — https://money.finance.sina.com.cn/corp/view/vCB_AllBulletinDetail.php?id=12581724&amp;stockid=688268&amp;utm_source=openai</w:t>
      </w:r>
    </w:p>
    <w:p>
      <w:pPr>
        <w:spacing w:after="200"/>
      </w:pPr>
      <w:r>
        <w:rPr>
          <w:i/>
          <w:iCs/>
          <w:color w:val="595959"/>
          <w:sz w:val="18"/>
          <w:szCs w:val="18"/>
        </w:rPr>
        <w:t xml:space="preserve">证券代码：688268 — https://big5.sse.com.cn/site/cht/www.sse.com.cn/disclosure/listedinfo/announcement/c/new/2026-04-03/688268_20260403_IRDC.pdf?utm_source=openai</w:t>
      </w:r>
    </w:p>
    <w:p>
      <w:pPr>
        <w:spacing w:after="200"/>
      </w:pPr>
      <w:r>
        <w:rPr>
          <w:i/>
          <w:iCs/>
          <w:color w:val="595959"/>
          <w:sz w:val="18"/>
          <w:szCs w:val="18"/>
        </w:rPr>
        <w:t xml:space="preserve">华特气体(688268)公司公告_新浪财经_新浪网 — https://money.finance.sina.com.cn/corp/go.php/vCB_AllBulletin/stockid/688268.phtml?utm_source=openai</w:t>
      </w:r>
    </w:p>
    <w:p>
      <w:pPr>
        <w:spacing w:after="200"/>
      </w:pPr>
      <w:r>
        <w:rPr>
          <w:i/>
          <w:iCs/>
          <w:color w:val="595959"/>
          <w:sz w:val="18"/>
          <w:szCs w:val="18"/>
        </w:rPr>
        <w:t xml:space="preserve">证券代码：688268          证券简称：华特气体       公告编号：2026-024 — https://epaper.stcn.com/pic/202604/10/6db9d520cbda2f13d6b70851aa4711ca.pdf?u_asig=03f37&amp;u_atoken=6ca854e6803df5fdb0b063940163ec21&amp;utm_source=openai</w:t>
      </w:r>
    </w:p>
    <w:p>
      <w:pPr>
        <w:spacing w:after="200"/>
      </w:pPr>
      <w:r>
        <w:rPr>
          <w:i/>
          <w:iCs/>
          <w:color w:val="595959"/>
          <w:sz w:val="18"/>
          <w:szCs w:val="18"/>
        </w:rPr>
        <w:t xml:space="preserve">上海证券交易所科创板上市公司列表 — https://zh.wikipedia.org/wiki/%E4%B8%8A%E6%B5%B7%E8%AF%81%E5%88%B8%E4%BA%A4%E6%98%93%E6%89%80%E7%A7%91%E5%88%9B%E6%9D%BF%E4%B8%8A%E5%B8%82%E5%85%AC%E5%8F%B8%E5%88%97%E8%A1%A8?utm_source=openai</w:t>
      </w:r>
    </w:p>
    <w:p>
      <w:pPr>
        <w:spacing w:after="200"/>
      </w:pPr>
      <w:r>
        <w:rPr>
          <w:i/>
          <w:iCs/>
          <w:color w:val="595959"/>
          <w:sz w:val="18"/>
          <w:szCs w:val="18"/>
        </w:rPr>
        <w:t xml:space="preserve">华特气体(688268)股票历史数据:历史行情,价格,走势图表_英为财情Investing.com — https://cn.investing.com/equities/guangdong-huate-gas-historical-data</w:t>
      </w:r>
    </w:p>
    <w:p>
      <w:pPr>
        <w:spacing w:after="200"/>
      </w:pPr>
      <w:r>
        <w:rPr>
          <w:i/>
          <w:iCs/>
          <w:color w:val="595959"/>
          <w:sz w:val="18"/>
          <w:szCs w:val="18"/>
        </w:rPr>
        <w:t xml:space="preserve">华特气体(688268)股票行情走势技术分析_未来预测_买卖操作建议_英为财情Investing.com — https://cn.investing.com/equities/guangdong-huate-gas-technical?utm_source=openai</w:t>
      </w:r>
    </w:p>
    <w:p>
      <w:pPr>
        <w:spacing w:after="200"/>
      </w:pPr>
      <w:r>
        <w:rPr>
          <w:i/>
          <w:iCs/>
          <w:color w:val="595959"/>
          <w:sz w:val="18"/>
          <w:szCs w:val="18"/>
        </w:rPr>
        <w:t xml:space="preserve">单股调研 — https://www.ashare-dashboard.com/stocks?ts_code=688268.SH</w:t>
      </w:r>
    </w:p>
    <w:p>
      <w:pPr>
        <w:spacing w:after="200"/>
      </w:pPr>
      <w:r>
        <w:rPr>
          <w:i/>
          <w:iCs/>
          <w:color w:val="595959"/>
          <w:sz w:val="18"/>
          <w:szCs w:val="18"/>
        </w:rPr>
        <w:t xml:space="preserve">华特气体 (688268) - 历史交易数据 | 打板客网 — https://dabanke.com/hangqing-688268.html</w:t>
      </w:r>
    </w:p>
    <w:p>
      <w:pPr>
        <w:spacing w:after="200"/>
      </w:pPr>
      <w:r>
        <w:rPr>
          <w:i/>
          <w:iCs/>
          <w:color w:val="595959"/>
          <w:sz w:val="18"/>
          <w:szCs w:val="18"/>
        </w:rPr>
        <w:t xml:space="preserve">华特气体(688268) 股东研究_F10_同花顺金融服务网 — https://basic.10jqka.com.cn/688268/holder.html?utm_source=openai</w:t>
      </w:r>
    </w:p>
    <w:p>
      <w:pPr>
        <w:spacing w:after="200"/>
      </w:pPr>
      <w:r>
        <w:rPr>
          <w:i/>
          <w:iCs/>
          <w:color w:val="595959"/>
          <w:sz w:val="18"/>
          <w:szCs w:val="18"/>
        </w:rPr>
        <w:t xml:space="preserve">Guangdong Huate Gas Co (688268) Share Price History - Investing.com India — https://in.investing.com/equities/guangdong-huate-gas-historical-data?utm_source=openai</w:t>
      </w:r>
    </w:p>
    <w:p>
      <w:pPr>
        <w:spacing w:after="200"/>
      </w:pPr>
      <w:r>
        <w:rPr>
          <w:i/>
          <w:iCs/>
          <w:color w:val="595959"/>
          <w:sz w:val="18"/>
          <w:szCs w:val="18"/>
        </w:rPr>
        <w:t xml:space="preserve">本报告由AI基于公开渠道信息自动检索、整理并生成，信息截至 数据截至2026年9月11日收盘；未来一周观察区间为2026年9月14日至9月18日。股东结构数据截至2026年6月30日，股东人数数据截至2026年7月31日，融资余额数据截至2026年9月9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2026-09-13T11:36:00.882Z</dcterms:created>
  <dcterms:modified xsi:type="dcterms:W3CDTF">2026-09-13T11:36:00.882Z</dcterms:modified>
</cp:coreProperties>
</file>

<file path=docProps/custom.xml><?xml version="1.0" encoding="utf-8"?>
<Properties xmlns="http://schemas.openxmlformats.org/officeDocument/2006/custom-properties" xmlns:vt="http://schemas.openxmlformats.org/officeDocument/2006/docPropsVTypes"/>
</file>