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株洲欧科亿数控精密刀具股份有限公司（欧科亿，688308） (688308)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行业：硬质合金及数控切削工具制造</w:t>
      </w:r>
    </w:p>
    <w:p>
      <w:pPr>
        <w:jc w:val="center"/>
      </w:pPr>
      <w:r>
        <w:rPr>
          <w:color w:val="595959"/>
          <w:sz w:val="22"/>
          <w:szCs w:val="22"/>
        </w:rPr>
        <w:t xml:space="preserve">报告日期：2026年9月13日</w:t>
      </w:r>
    </w:p>
    <w:p>
      <w:pPr>
        <w:jc w:val="center"/>
      </w:pPr>
      <w:r>
        <w:rPr>
          <w:color w:val="595959"/>
          <w:sz w:val="20"/>
          <w:szCs w:val="20"/>
        </w:rPr>
        <w:t xml:space="preserve">行情及技术指标数据截至2026年9月11日收盘；9月13日为周日，9月11日为最近交易日。均线、布林带等部分指标基于2026年8月17日至9月11日收盘数据自行计算或估算。</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欧科亿2026年上半年实现营业收入12.07亿元，同比增长99.96%；归母净利润3.71亿元，同比增长47734.24%，扣非归母净利润3.53亿元，业绩增长主要来自高端刀具需求提升、数控刀具销量增长、产品结构升级及产品提价。但上年同期归母净利润仅77.54万元，低基数效应显著，且同期经营活动现金流净额为-3.10亿元，盈利增长向现金流转化的质量仍需观察。</w:t>
      </w:r>
    </w:p>
    <w:p>
      <w:pPr>
        <w:spacing w:after="160" w:line="300"/>
      </w:pPr>
      <w:r>
        <w:rPr>
          <w:sz w:val="22"/>
          <w:szCs w:val="22"/>
        </w:rPr>
        <w:t xml:space="preserve">公司主营数控刀具和硬质合金制品，2025年数控刀具收入占主营业务收入约55.5%，硬质合金制品占约42.3%。棒材和整体硬质合金刀具增长较快，2025年销售收入分别同比增长55.97%和93.84%，体现公司向深加工、高附加值产品及整体加工解决方案延伸。不过，数控刀具产品毛利率已由2023年的40.42%降至2025年的25.44%，综合毛利率约17%—18%，产能爬坡、折旧投入、产品结构变化及外购产品占比提升仍对利润率形成约束。</w:t>
      </w:r>
    </w:p>
    <w:p>
      <w:pPr>
        <w:spacing w:after="160" w:line="300"/>
      </w:pPr>
      <w:r>
        <w:rPr>
          <w:sz w:val="22"/>
          <w:szCs w:val="22"/>
        </w:rPr>
        <w:t xml:space="preserve">公司正在推进业务和资本运作扩张：拟以约4.25亿元自筹资金收购并增资取得永鑫精工51%股权，拓展PCB钻针等高端精密工具业务；同时拟向全资子公司增资扩股并引入外部投资者，规模约8亿元。上述事项截至2026年9月13日均尚未完成，未来能否顺利交割、实现业务协同并形成盈利贡献仍取决于后续审批、整合及经营表现。</w:t>
      </w:r>
    </w:p>
    <w:p>
      <w:pPr>
        <w:spacing w:after="160" w:line="300"/>
      </w:pPr>
      <w:r>
        <w:rPr>
          <w:sz w:val="22"/>
          <w:szCs w:val="22"/>
        </w:rPr>
        <w:t xml:space="preserve">截至2026年9月11日，股价收于83.34元，低于MA5、MA10和MA20，短期均线呈空头排列；RSI(6)约26—27、股价接近布林下轨，存在技术性修复可能，但主力资金近期整体净流出、成交量较前期高活跃阶段回落，短期走势仍处于高波动回调结构。</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688308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欧科亿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湖南省株洲市炎陵县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数控刀具产品、硬质合金制品的研发、生产与销售，同时推进钨丝等钨产业链相关业务布局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金属制品业中的切削工具制造、硬质合金及粉末冶金制品制造</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2025年主营业务收入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数控刀具产品80,434.39万元，占主营业务收入约55.5%；硬质合金制品61,361.29万元，占比约42.3%；钨制品1,000.04万元，占比约0.7%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2025年直销与经销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直销收入占主营业务收入约60.0%，经销收入约40.0%</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数控刀具产品：包括数控刀片、数控刀体、面铣及方肩铣等铣削刀具、整体硬质合金刀具、金属陶瓷刀片、PCBN及PCD等超硬刀具，以及部分孔加工和定制化刀具。</w:t>
      </w:r>
    </w:p>
    <w:p>
      <w:pPr>
        <w:pStyle w:val="ListParagraph"/>
        <w:numPr>
          <w:ilvl w:val="0"/>
          <w:numId w:val="2"/>
        </w:numPr>
        <w:spacing w:after="80" w:line="280"/>
      </w:pPr>
      <w:r>
        <w:rPr>
          <w:sz w:val="22"/>
          <w:szCs w:val="22"/>
        </w:rPr>
        <w:t xml:space="preserve">硬质合金制品：包括硬质合金锯齿刀片、硬质合金棒材、硬质合金圆片及其他硬质合金材料和制品。锯齿刀片主要用于木材、人造板、钢材、铝材和塑料等材料切割；棒材主要作为整体硬质合金铣刀、钻头、铰刀和丝锥的基体材料。</w:t>
      </w:r>
    </w:p>
    <w:p>
      <w:pPr>
        <w:pStyle w:val="ListParagraph"/>
        <w:numPr>
          <w:ilvl w:val="0"/>
          <w:numId w:val="2"/>
        </w:numPr>
        <w:spacing w:after="80" w:line="280"/>
      </w:pPr>
      <w:r>
        <w:rPr>
          <w:sz w:val="22"/>
          <w:szCs w:val="22"/>
        </w:rPr>
        <w:t xml:space="preserve">刀具整体解决方案：由单一刀具产品供应商向“刀具产品＋加工工艺服务＋现场技术支持”的综合切削解决方案供应商转型，服务包括刀具选型、组合配置、切削参数优化、现场试切、刀具寿命跟踪、刀具管理及加工效率改善等。</w:t>
      </w:r>
    </w:p>
    <w:p>
      <w:pPr>
        <w:pStyle w:val="ListParagraph"/>
        <w:numPr>
          <w:ilvl w:val="0"/>
          <w:numId w:val="2"/>
        </w:numPr>
        <w:spacing w:after="80" w:line="280"/>
      </w:pPr>
      <w:r>
        <w:rPr>
          <w:sz w:val="22"/>
          <w:szCs w:val="22"/>
        </w:rPr>
        <w:t xml:space="preserve">钨制品及钨丝相关业务：公司推进钨丝等钨产业链相关业务布局。2025年钨制品收入1,000.04万元，同比下降29.65%，钨丝项目截至2025年末仍处于建设和培育阶段。</w:t>
      </w:r>
    </w:p>
    <w:p>
      <w:pPr>
        <w:pStyle w:val="ListParagraph"/>
        <w:numPr>
          <w:ilvl w:val="0"/>
          <w:numId w:val="2"/>
        </w:numPr>
        <w:spacing w:after="80" w:line="280"/>
      </w:pPr>
      <w:r>
        <w:rPr>
          <w:sz w:val="22"/>
          <w:szCs w:val="22"/>
        </w:rPr>
        <w:t xml:space="preserve">2025年产品结构变化：棒材销售收入25,703.08万元，同比增长55.97%；整体硬质合金刀具销售收入11,205.99万元，同比增长93.84%，增速高于公司整体收入增速，体现公司向更深加工和更高附加值产品延伸。</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欧科亿位于钨基硬质合金产业链的中游偏下游，连接上游碳化钨、钴粉等材料与下游汽车、新能源汽车零部件、通用机械、模具、航空航天、风电、轨道交通、3C电子及医疗器械等制造客户。公司已从硬质合金材料和标准刀片向棒材、整体刀具、超硬刀具及加工解决方案延伸，较传统材料企业更靠近终端客户。</w:t>
      </w:r>
    </w:p>
    <w:p>
      <w:pPr>
        <w:pStyle w:val="ListParagraph"/>
        <w:numPr>
          <w:ilvl w:val="0"/>
          <w:numId w:val="2"/>
        </w:numPr>
        <w:spacing w:after="80" w:line="280"/>
      </w:pPr>
      <w:r>
        <w:rPr>
          <w:sz w:val="22"/>
          <w:szCs w:val="22"/>
        </w:rPr>
        <w:t xml:space="preserve">主要采购碳化钨粉、钴粉、硬质合金混合料、涂层相关材料、钢材及刀体用材料、包装和辅助生产材料。</w:t>
      </w:r>
    </w:p>
    <w:p>
      <w:pPr>
        <w:pStyle w:val="ListParagraph"/>
        <w:numPr>
          <w:ilvl w:val="0"/>
          <w:numId w:val="2"/>
        </w:numPr>
        <w:spacing w:after="80" w:line="280"/>
      </w:pPr>
      <w:r>
        <w:rPr>
          <w:sz w:val="22"/>
          <w:szCs w:val="22"/>
        </w:rPr>
        <w:t xml:space="preserve">碳化钨为硬质合金硬质相，钴粉主要作为粘结相。公司采购模式以产定购，碳化钨和钴粉采购价格采用随行就市的定价原则，并根据订单、库存、资金情况和原材料价格调整采购策略。</w:t>
      </w:r>
    </w:p>
    <w:p>
      <w:pPr>
        <w:pStyle w:val="ListParagraph"/>
        <w:numPr>
          <w:ilvl w:val="0"/>
          <w:numId w:val="2"/>
        </w:numPr>
        <w:spacing w:after="80" w:line="280"/>
      </w:pPr>
      <w:r>
        <w:rPr>
          <w:sz w:val="22"/>
          <w:szCs w:val="22"/>
        </w:rPr>
        <w:t xml:space="preserve">2024年硬质合金制品营业成本中直接材料占比约85.63%，数控刀具产品直接材料占比约41.44%。硬质合金制品对原材料价格更敏感；数控刀具产品的制造工艺、涂层、产品结构、品牌和应用服务对价格影响更大。</w:t>
      </w:r>
    </w:p>
    <w:p>
      <w:pPr>
        <w:pStyle w:val="ListParagraph"/>
        <w:numPr>
          <w:ilvl w:val="0"/>
          <w:numId w:val="2"/>
        </w:numPr>
        <w:spacing w:after="80" w:line="280"/>
      </w:pPr>
      <w:r>
        <w:rPr>
          <w:sz w:val="22"/>
          <w:szCs w:val="22"/>
        </w:rPr>
        <w:t xml:space="preserve">公司并非碳化钨和钴粉价格的绝对制定者，采购端整体上仍属于大宗原材料价格的接受者或部分接受者，但具备一定规模采购和库存管理能力。</w:t>
      </w:r>
    </w:p>
    <w:p>
      <w:pPr>
        <w:pStyle w:val="ListParagraph"/>
        <w:numPr>
          <w:ilvl w:val="0"/>
          <w:numId w:val="2"/>
        </w:numPr>
        <w:spacing w:after="80" w:line="280"/>
      </w:pPr>
      <w:r>
        <w:rPr>
          <w:sz w:val="22"/>
          <w:szCs w:val="22"/>
        </w:rPr>
        <w:t xml:space="preserve">2024年前五名供应商采购额47,924.88万元，占年度采购总额57.80%；其中关联方采购金额4,906.07万元，占年度采购总额5.92%。公司未披露前五名供应商具体名称和单一供应商依赖程度，不能据此判断对单一供应商存在重大依赖。</w:t>
      </w:r>
    </w:p>
    <w:p>
      <w:pPr>
        <w:pStyle w:val="ListParagraph"/>
        <w:numPr>
          <w:ilvl w:val="0"/>
          <w:numId w:val="2"/>
        </w:numPr>
        <w:spacing w:after="80" w:line="280"/>
      </w:pPr>
      <w:r>
        <w:rPr>
          <w:sz w:val="22"/>
          <w:szCs w:val="22"/>
        </w:rPr>
        <w:t xml:space="preserve">公司不是钨矿资源企业，未披露自有钨矿储量或矿山资源权益，其资源与能力主要体现为硬质合金材料及基材配方、原材料采购与库存管理、刀具产品技术储备以及应用工艺和客户服务经验。</w:t>
      </w:r>
    </w:p>
    <w:p>
      <w:pPr>
        <w:pStyle w:val="ListParagraph"/>
        <w:numPr>
          <w:ilvl w:val="0"/>
          <w:numId w:val="2"/>
        </w:numPr>
        <w:spacing w:after="80" w:line="280"/>
      </w:pPr>
      <w:r>
        <w:rPr>
          <w:sz w:val="22"/>
          <w:szCs w:val="22"/>
        </w:rPr>
        <w:t xml:space="preserve">下游客户主要包括汽车及新能源汽车零部件加工厂、通用机械和装备制造企业、模具企业、航空航天零部件企业、风电和能源装备企业、轨道交通企业、3C电子及医疗器械企业，以及刀具经销商和区域刀具商店。</w:t>
      </w:r>
    </w:p>
    <w:p>
      <w:pPr>
        <w:pStyle w:val="ListParagraph"/>
        <w:numPr>
          <w:ilvl w:val="0"/>
          <w:numId w:val="2"/>
        </w:numPr>
        <w:spacing w:after="80" w:line="280"/>
      </w:pPr>
      <w:r>
        <w:rPr>
          <w:sz w:val="22"/>
          <w:szCs w:val="22"/>
        </w:rPr>
        <w:t xml:space="preserve">公司采取直销和经销并存模式。2025年直销收入占主营业务收入约60.0%，经销收入约40.0%，直销和终端方案业务的重要性较早期提升。</w:t>
      </w:r>
    </w:p>
    <w:p>
      <w:pPr>
        <w:pStyle w:val="ListParagraph"/>
        <w:numPr>
          <w:ilvl w:val="0"/>
          <w:numId w:val="2"/>
        </w:numPr>
        <w:spacing w:after="80" w:line="280"/>
      </w:pPr>
      <w:r>
        <w:rPr>
          <w:sz w:val="22"/>
          <w:szCs w:val="22"/>
        </w:rPr>
        <w:t xml:space="preserve">刀具行业下游议价机制主要体现为性能验证、供应商认证和加工成本比较，而非单纯产品标价竞争。客户重点关注刀具寿命、加工效率、加工精度、换刀频率、单件加工成本、交付稳定性和现场技术服务能力。</w:t>
      </w:r>
    </w:p>
    <w:p>
      <w:pPr>
        <w:pStyle w:val="ListParagraph"/>
        <w:numPr>
          <w:ilvl w:val="0"/>
          <w:numId w:val="2"/>
        </w:numPr>
        <w:spacing w:after="80" w:line="280"/>
      </w:pPr>
      <w:r>
        <w:rPr>
          <w:sz w:val="22"/>
          <w:szCs w:val="22"/>
        </w:rPr>
        <w:t xml:space="preserve">进入汽车、航空航天、轨道交通等客户供应链通常需要较长时间验证，但通过认证后客户黏性相对较高。整体解决方案业务能够提升客户粘性和订单规模，但其中包含外购产品，毛利率低于单纯自产高端数控刀具业务。</w:t>
      </w:r>
    </w:p>
    <w:p>
      <w:pPr>
        <w:pStyle w:val="ListParagraph"/>
        <w:numPr>
          <w:ilvl w:val="0"/>
          <w:numId w:val="2"/>
        </w:numPr>
        <w:spacing w:after="80" w:line="280"/>
      </w:pPr>
      <w:r>
        <w:rPr>
          <w:sz w:val="22"/>
          <w:szCs w:val="22"/>
        </w:rPr>
        <w:t xml:space="preserve">客户集中度数据：2023年前五名客户销售额17,460.70万元，占年度销售总额17.01%。该数据为2023年年报口径，当前纪要未能交叉确认2024年前五名客户具体销售占比，具体比例需以年报原始表格进一步核实。</w:t>
      </w:r>
    </w:p>
    <w:p>
      <w:pPr>
        <w:pStyle w:val="ListParagraph"/>
        <w:numPr>
          <w:ilvl w:val="0"/>
          <w:numId w:val="2"/>
        </w:numPr>
        <w:spacing w:after="80" w:line="280"/>
      </w:pPr>
      <w:r>
        <w:rPr>
          <w:sz w:val="22"/>
          <w:szCs w:val="22"/>
        </w:rPr>
        <w:t xml:space="preserve">2024年年报披露前五名客户中有多家新进入客户。基于纪要信息，公司不存在单一客户占销售额50%以上的情况，客户集中度风险总体可控，但2024年具体客户集中度数据存在核实不足。</w:t>
      </w:r>
    </w:p>
    <w:p>
      <w:pPr>
        <w:pStyle w:val="ListParagraph"/>
        <w:numPr>
          <w:ilvl w:val="0"/>
          <w:numId w:val="2"/>
        </w:numPr>
        <w:spacing w:after="80" w:line="280"/>
      </w:pPr>
      <w:r>
        <w:rPr>
          <w:sz w:val="22"/>
          <w:szCs w:val="22"/>
        </w:rPr>
        <w:t xml:space="preserve">截至2024年12月31日，应收账款账面价值3.898亿元，占总资产9.85%，约占当年营业收入34.6%；存货账面价值6.311亿元，占总资产15.94%；预付款项1,131.66万元，占总资产0.29%；前五大客户应收账款占应收账款总额21.17%。应收账款较2023年增长7.01%，主要与收入增长和海外业务扩张有关；存货较2023年末增长27.70%，与产业园投产、订单交付备货及产品结构切换有关。应收账款占收入比例较高，说明直销、海外和整体解决方案业务扩张带来一定营运资金占用，公司并非完全处于强势议价地位。</w:t>
      </w:r>
    </w:p>
    <w:p>
      <w:pPr>
        <w:pStyle w:val="ListParagraph"/>
        <w:numPr>
          <w:ilvl w:val="0"/>
          <w:numId w:val="2"/>
        </w:numPr>
        <w:spacing w:after="80" w:line="280"/>
      </w:pPr>
      <w:r>
        <w:rPr>
          <w:sz w:val="22"/>
          <w:szCs w:val="22"/>
        </w:rPr>
        <w:t xml:space="preserve">供应商集中度方面，2024年前五名供应商采购额占年度采购总额57.80%，但未披露单一供应商依赖程度；客户集中度方面，2023年前五名客户销售额占年度销售总额17.01%，该数据来源为2023年年报，2024年具体比例尚未在纪要中交叉确认。整体看，公司供应商采购集中度不低，但客户相对分散，未出现单一客户占销售额50%以上的情况。</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综合毛利率约29.33%；数控刀具产品毛利率40.42%；硬质合金制品毛利率14.93%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约16.17%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数控刀具毛利率仍处于较高水平，但国内需求偏弱、销量下降；硬质合金制品受材料成本和产品结构影响，毛利率较低。</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综合毛利率约22.66%；数控刀具产品毛利率29.85%；硬质合金制品毛利率15.42%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约5.08%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数控刀具产业园投产后处于产能爬坡期，折旧、人工及制造费用增加，数控刀片产量下降导致单位成本上升；整体解决方案中的外购产品占比较高，也压低业务毛利率。硬质合金制品毛利率小幅恢复。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综合毛利率约17%—18%；数控刀具产品毛利率25.44%；硬质合金制品毛利率19.52%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约7.11%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数控刀具收入和销量明显增长，但产品结构升级、新增产能释放和成本投入使毛利率仍低于2023年；硬质合金制品毛利率回升，主要与产品结构改善、棒材等高附加值产品增长及规模效应有关。综合毛利率为根据年报分产品收入和成本测算的区间，非单点披露值。</w:t>
            </w:r>
          </w:p>
        </w:tc>
      </w:tr>
    </w:tbl>
    <w:p>
      <w:pPr>
        <w:spacing w:before="200"/>
      </w:pPr>
    </w:p>
    <w:p>
      <w:pPr>
        <w:spacing w:after="160" w:line="300"/>
      </w:pPr>
      <w:r>
        <w:rPr>
          <w:sz w:val="22"/>
          <w:szCs w:val="22"/>
        </w:rPr>
        <w:t xml:space="preserve">公司处于钨基硬质合金产业链中游偏下游，属于“材料加工能力＋刀具制造技术＋应用服务能力”的制造企业，而非拥有矿山资源的上游钨资源企业。当前利润率受大宗原材料价格、产能爬坡、折旧和产品结构影响，进一步改善主要依赖数控刀具和整体刀具产能利用率提升、棒材及高附加值刀具占比提高、基材与涂层技术进步、产品涨价对原材料涨价的传导、产业园产能消化后的规模效应，以及由单支刀具销售向整体加工解决方案升级。</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12.0673亿元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+99.96%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3.7088亿元（归属于上市公司股东的净利润）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+47734.24%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14.5742亿元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+29.30%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1.0361亿元（归属于上市公司股东的净利润）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+80.81%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11.2719亿元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0.5730亿元（归属于上市公司股东的净利润）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bl>
    <w:p>
      <w:pPr>
        <w:spacing w:after="200"/>
      </w:pPr>
      <w:r>
        <w:rPr>
          <w:i/>
          <w:iCs/>
          <w:color w:val="595959"/>
          <w:sz w:val="18"/>
          <w:szCs w:val="18"/>
        </w:rPr>
        <w:t xml:space="preserve">最新已披露财报为2026年半年度报告，披露日期为2026年8月。2026年上半年扣非归母净利润为3.5312亿元，上年同期为-1914.72万元；基本每股收益2.35元，扣非基本每股收益2.24元。2026年上半年经营活动现金流净额为-3.1033亿元，上年同期为-1.2993亿元。</w:t>
      </w:r>
    </w:p>
    <w:p>
      <w:pPr>
        <w:spacing w:after="160" w:line="300"/>
      </w:pPr>
      <w:r>
        <w:rPr>
          <w:sz w:val="22"/>
          <w:szCs w:val="22"/>
        </w:rPr>
        <w:t xml:space="preserve">2026年上半年公司收入和利润均大幅增长，主要受碳化钨等原材料价格上涨后的产品价格调整、高端刀具需求提升、数控刀具销量增长及产品结构升级推动。利润增速显著高于收入增速，且扣非归母净利润仍达到3.5312亿元，业绩增长并非完全由非经常性损益驱动。但2025年上半年归母净利润仅为77.54万元，存在较低基数效应；同时经营活动现金流为负，存货及原材料采购增加使盈利质量和现金转化能力仍需观察。2025年全年业绩较2024年明显修复，扣非归母净利润同比增长177.12%。</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机构汇总数据显示，截至2026年9月11日，近六个月共有9家机构对公司2026年业绩进行预测。机构预测来自券商研报摘录，并非公司业绩指引。主要机构样本中，东吴证券、华鑫证券、国投证券、财信证券及中金公司对2026—2028年收入和归母净利润的预测存在较大差异；2027年和2028年机构预测区间较宽，反映市场对钨价、产品提价持续性、PCB钻针业务进展及高基数下利润维持能力存在分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机构汇总收入预测未披露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5.94亿元（机构预测均值，区间5.47—6.59亿元）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较2025年归母净利润增长约4.5—5.4倍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3.74元（均值，区间3.44—4.15元）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机构汇总收入预测未披露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6.81亿元（机构预测均值，区间3.99—8.40亿元）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4.29元（均值，区间2.51—5.29元）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机构汇总收入预测未披露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8.72亿元（机构预测均值，区间6.54—11.14亿元）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5.49元（均值，区间4.12—7.02元）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买入-A</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目标价118.69元，对应2026年30倍PE。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2026年5月10日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未给出明确目标价；预测PE为2026年26.4倍、2027年18.8倍、2028年14.2倍。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财信证券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目标估值区间89.2—107.1元，对应2026年25—30倍PE。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目标价100元；预计2026年归母净利润约6.6亿元、2027年约4.0亿元，认为钨价上涨带来的库存收益可能在2027年减少。</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机构评级汇总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5家买入、1家增持、1家跑赢行业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截至2026年7月17日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近六个月共有7家机构发布相关研报；2026年目标价最高118.78元、最低100.00元、平均109.39元；2026年预测归母净利润最高6.59亿元、最低5.66亿元、均值6.06亿元。</w:t>
            </w:r>
          </w:p>
        </w:tc>
      </w:tr>
    </w:tbl>
    <w:p>
      <w:pPr>
        <w:spacing w:before="200"/>
      </w:pPr>
    </w:p>
    <w:p>
      <w:pPr>
        <w:spacing w:after="160" w:line="300"/>
      </w:pPr>
      <w:r>
        <w:rPr>
          <w:sz w:val="22"/>
          <w:szCs w:val="22"/>
        </w:rPr>
        <w:t xml:space="preserve">截至2026年9月11日，公司收盘价为83.34元，总股本约1.5878亿股，对应总市值约132.33亿元。基于2025年下半年及2026年上半年归母净利润计算，最近12个月归母净利润约4.7372亿元，对应滚动PE约27.9倍；2026年6月末归母净资产为30.0099亿元，对应PB约4.41倍。按机构盈利预测均值计算，2026—2028年动态PE分别约22.3倍、19.4倍和15.2倍。当前股价较机构目标价均值109.39元的理论上涨空间约31.3%，较国投证券目标价118.69元的理论上涨空间约42.4%；目标价基于券商研究假设，不等同于市场一致预期或公司业绩承诺。估值判断的主要不确定性包括：2026年上半年业绩存在低基数效应；钨价及碳化钨价格上涨带来的库存收益、提价传导和毛利率改善能否持续尚不确定；经营活动现金流为负且存货及原材料资金占用增加；机构对2027年盈利预测分歧较大；PCB钻针相关并购和新业务仍处于扩张阶段，盈利贡献有待后续财报验证。</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拟收购永鑫精工51%股权，拓展PCB钻针等业务</w:t>
      </w:r>
    </w:p>
    <w:p>
      <w:pPr>
        <w:spacing w:after="160" w:line="300"/>
      </w:pPr>
      <w:r>
        <w:rPr>
          <w:sz w:val="22"/>
          <w:szCs w:val="22"/>
        </w:rPr>
        <w:t xml:space="preserve">2026年8月27日，欧科亿披露拟通过股权受让及现金增资方式取得宜昌永鑫精工科技股份有限公司51%股权。公司拟受让永鑫精工原股东合计33.5%股权，交易对价合计约1.75亿元；同时按照投前估值不超过7亿元现金增资2.5亿元，取得增资后26.3158%的股权。交易完成后，永鑫精工将成为欧科亿控股子公司并纳入合并报表，交易总资金投入约4.25亿元，资金来源为公司自筹。永鑫精工主要涉及PCB钻针等产品，有助于公司向高端精密工具领域延伸。截至2026年9月13日，该事项仍处于股东会审议和推进阶段，尚未完成交割。公司已安排2026年第一次临时股东会于2026年9月14日召开，相关议案尚未获得股东会最终批准。</w:t>
      </w:r>
    </w:p>
    <w:p>
      <w:pPr>
        <w:pStyle w:val="Heading2"/>
        <w:spacing w:after="120" w:before="240"/>
      </w:pPr>
      <w:r>
        <w:rPr>
          <w:b/>
          <w:bCs/>
          <w:color w:val="2E74B5"/>
          <w:sz w:val="24"/>
          <w:szCs w:val="24"/>
        </w:rPr>
        <w:t xml:space="preserve">4.2 全资子公司拟增资扩股，引入外部投资者约8亿元</w:t>
      </w:r>
    </w:p>
    <w:p>
      <w:pPr>
        <w:spacing w:after="160" w:line="300"/>
      </w:pPr>
      <w:r>
        <w:rPr>
          <w:sz w:val="22"/>
          <w:szCs w:val="22"/>
        </w:rPr>
        <w:t xml:space="preserve">2026年8月27日，欧科亿披露拟对全资子公司株洲欧科亿切削工具有限公司进行增资扩股并引入外部投资者，合计增资规模约8亿元，增资前估值约12亿元。交易完成后，欧科亿仍将保持对该子公司的控制权。该事项有利于补充高端数控刀具业务资金、推动子公司独立融资和产业化扩张，并为后续资本运作提供条件。外部投资者将获得股权回购权、优先购买权、共同出售权、反稀释及优先清算等股东权利；若子公司未能在约定期限内推进合格IPO申报或完成相关股权上翻，投资方可能享有要求回购股权的权利。截至2026年9月13日，该事项已提交2026年第一次临时股东会审议，但股东会尚未召开，增资扩股尚未完成。</w:t>
      </w:r>
    </w:p>
    <w:p>
      <w:pPr>
        <w:pStyle w:val="Heading2"/>
        <w:spacing w:after="120" w:before="240"/>
      </w:pPr>
      <w:r>
        <w:rPr>
          <w:b/>
          <w:bCs/>
          <w:color w:val="2E74B5"/>
          <w:sz w:val="24"/>
          <w:szCs w:val="24"/>
        </w:rPr>
        <w:t xml:space="preserve">4.3 格林美拟继续出售欧科亿股份，股东结构面临进一步变化</w:t>
      </w:r>
    </w:p>
    <w:p>
      <w:pPr>
        <w:spacing w:after="160" w:line="300"/>
      </w:pPr>
      <w:r>
        <w:rPr>
          <w:sz w:val="22"/>
          <w:szCs w:val="22"/>
        </w:rPr>
        <w:t xml:space="preserve">2026年8月31日，格林美董事会审议通过继续出售所持欧科亿股份的议案，拟出售数量不超过7,790,500股，约占欧科亿总股本的4.91%。格林美此前已于2026年6月1日通过询价转让方式出售欧科亿8,732,993股，成交价格为96.45元/股，减持比例约5.50%；减持完成后持股比例降至4.91%，不再属于持股5%以上股东。若本次计划全部实施，格林美可能基本退出欧科亿股东名单。该计划短期可能增加市场供给和股价压力，但减持原因主要为格林美自身资产处置及资金安排，并不等同于欧科亿经营基本面恶化。截至2026年9月13日，公开信息仅显示拟继续出售计划，不能确认7,790,500股已全部完成出售。</w:t>
      </w:r>
    </w:p>
    <w:p>
      <w:pPr>
        <w:pStyle w:val="Heading2"/>
        <w:spacing w:after="120" w:before="240"/>
      </w:pPr>
      <w:r>
        <w:rPr>
          <w:b/>
          <w:bCs/>
          <w:color w:val="2E74B5"/>
          <w:sz w:val="24"/>
          <w:szCs w:val="24"/>
        </w:rPr>
        <w:t xml:space="preserve">4.4 拟注销125万股回购股份并减少注册资本</w:t>
      </w:r>
    </w:p>
    <w:p>
      <w:pPr>
        <w:spacing w:after="160" w:line="300"/>
      </w:pPr>
      <w:r>
        <w:rPr>
          <w:sz w:val="22"/>
          <w:szCs w:val="22"/>
        </w:rPr>
        <w:t xml:space="preserve">2026年9月5日，欧科亿披露拟将回购专用证券账户中尚未使用的1,250,000股股份，由原计划用于股权激励或员工持股计划变更为注销并减少注册资本。拟注销股份占当前总股本约0.79%，回购累计支付金额为30,130,265.28元；历史回购成交最高价为33.50元/股，最低价为16.01元/股。注销完成后，预计总股本由158,781,708股减少至157,531,708股，注册资本预计由158,781,708元减少至157,531,708元。该事项旨在维护股东利益、增强投资者回报能力、提振投资者信心及提升长期投资价值，尚需提交2026年第二次临时股东会审议。公司已安排该会议于2026年9月23日召开，截至2026年9月13日注销尚未实施。</w:t>
      </w:r>
    </w:p>
    <w:p>
      <w:pPr>
        <w:pStyle w:val="Heading2"/>
        <w:spacing w:after="120" w:before="240"/>
      </w:pPr>
      <w:r>
        <w:rPr>
          <w:b/>
          <w:bCs/>
          <w:color w:val="2E74B5"/>
          <w:sz w:val="24"/>
          <w:szCs w:val="24"/>
        </w:rPr>
        <w:t xml:space="preserve">4.5 董事会换届选举安排</w:t>
      </w:r>
    </w:p>
    <w:p>
      <w:pPr>
        <w:spacing w:after="160" w:line="300"/>
      </w:pPr>
      <w:r>
        <w:rPr>
          <w:sz w:val="22"/>
          <w:szCs w:val="22"/>
        </w:rPr>
        <w:t xml:space="preserve">2026年9月5日，欧科亿披露董事会换届选举公告。公司拟提名袁美和、谭文清、张奕为非独立董事候选人，赵德军、查国兵为独立董事候选人，其中赵德军为会计专业人士。第四届董事会拟由股东会选举产生的董事与一名职工代表董事共同组成，任期三年。独立董事候选人仍需经上海证券交易所审核无异议后方可提交股东会审议。截至2026年9月13日，换届选举尚未完成，现任第三届董事会继续履职。</w:t>
      </w:r>
    </w:p>
    <w:p>
      <w:pPr>
        <w:pStyle w:val="Heading2"/>
        <w:spacing w:after="120" w:before="240"/>
      </w:pPr>
      <w:r>
        <w:rPr>
          <w:b/>
          <w:bCs/>
          <w:color w:val="2E74B5"/>
          <w:sz w:val="24"/>
          <w:szCs w:val="24"/>
        </w:rPr>
        <w:t xml:space="preserve">4.6 2026年半年度业绩大幅增长，归母净利润约3.71亿元</w:t>
      </w:r>
    </w:p>
    <w:p>
      <w:pPr>
        <w:spacing w:after="160" w:line="300"/>
      </w:pPr>
      <w:r>
        <w:rPr>
          <w:sz w:val="22"/>
          <w:szCs w:val="22"/>
        </w:rPr>
        <w:t xml:space="preserve">2026年7月17日，欧科亿自愿披露半年度业绩预告，预计归母净利润为3.60亿元至4.20亿元，预计扣非归母净利润为3.50亿元至4.00亿元，上年同期归母净利润为77.54万元。2026年8月26日，公司正式披露2026年半年度报告，归母净利润约3.71亿元，基本确认此前业绩预告区间。业绩增长主要来自高端刀具需求提升、数控刀具销量增长、产品结构升级、产品提价以及上年同期低基数。公司同时披露，2026年上半年计提信用减值损失1,967.70万元，各项资产减值损失合计436.58万元，合计计提信用及资产减值准备约2,404.29万元。</w:t>
      </w:r>
    </w:p>
    <w:p>
      <w:pPr>
        <w:pStyle w:val="Heading2"/>
        <w:spacing w:after="120" w:before="240"/>
      </w:pPr>
      <w:r>
        <w:rPr>
          <w:b/>
          <w:bCs/>
          <w:color w:val="2E74B5"/>
          <w:sz w:val="24"/>
          <w:szCs w:val="24"/>
        </w:rPr>
        <w:t xml:space="preserve">4.7 参加投资者网上集体接待日暨半年度业绩说明会</w:t>
      </w:r>
    </w:p>
    <w:p>
      <w:pPr>
        <w:spacing w:after="160" w:line="300"/>
      </w:pPr>
      <w:r>
        <w:rPr>
          <w:sz w:val="22"/>
          <w:szCs w:val="22"/>
        </w:rPr>
        <w:t xml:space="preserve">2026年9月1日，欧科亿公告将参加2026年湖南辖区上市公司投资者网上集体接待日暨半年度业绩说明会，活动时间为2026年9月2日。公司将就半年度业绩、原材料价格、收购永鑫精工及子公司增资等事项与投资者进行沟通。该事项本身不构成经营或资本运作变化。</w:t>
      </w:r>
    </w:p>
    <w:p>
      <w:pPr>
        <w:pStyle w:val="Heading2"/>
        <w:spacing w:after="120" w:before="240"/>
      </w:pPr>
      <w:r>
        <w:rPr>
          <w:b/>
          <w:bCs/>
          <w:color w:val="2E74B5"/>
          <w:sz w:val="24"/>
          <w:szCs w:val="24"/>
        </w:rPr>
        <w:t xml:space="preserve">4.8 其他公司治理及注册资本相关公告</w:t>
      </w:r>
    </w:p>
    <w:p>
      <w:pPr>
        <w:spacing w:after="160" w:line="300"/>
      </w:pPr>
      <w:r>
        <w:rPr>
          <w:sz w:val="22"/>
          <w:szCs w:val="22"/>
        </w:rPr>
        <w:t xml:space="preserve">2026年9月5日，欧科亿还披露了设立全资子公司、会计政策变更、变更注册资本及修订公司章程等公告。截至2026年9月13日，未发现这些事项单独构成重大资产重组或控制权变化。</w:t>
      </w:r>
    </w:p>
    <w:p>
      <w:pPr>
        <w:pStyle w:val="Heading2"/>
        <w:spacing w:after="120" w:before="240"/>
      </w:pPr>
      <w:r>
        <w:rPr>
          <w:b/>
          <w:bCs/>
          <w:color w:val="2E74B5"/>
          <w:sz w:val="24"/>
          <w:szCs w:val="24"/>
        </w:rPr>
        <w:t xml:space="preserve">4.9 暂未发现2026年9月新增重大监管处罚或立案调查</w:t>
      </w:r>
    </w:p>
    <w:p>
      <w:pPr>
        <w:spacing w:after="160" w:line="300"/>
      </w:pPr>
      <w:r>
        <w:rPr>
          <w:sz w:val="22"/>
          <w:szCs w:val="22"/>
        </w:rPr>
        <w:t xml:space="preserve">截至2026年9月13日，基于上海证券交易所公告、科创板监管问询栏目及公司近期公告检索，暂未发现欧科亿在2026年9月新增重大监管处罚、立案调查、交易所纪律处分或重大问询公告。公司在2025年年度报告披露后曾涉及持续督导相关的信息披露监管问询材料，但该事项发生时间较早，不宜直接视为2026年9月新增监管风险。</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欧科亿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688308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83.34元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-1.18元，-1.40%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83.00元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84.50元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80.29元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60,835.81手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50,083.50万元，约5.01亿元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约1.59亿股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按总股本和收盘价估算约132.5亿元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211.37元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约19.77至20.21元，不同平台存在小幅差异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公开平台披露的PE约处于28至48倍区间；中财网显示市盈率约27.93倍、扣非后市盈率约29.73倍，Investing.com显示市盈率约48.47倍，具体口径存在差异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阶段走势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6月至7月股价快速上行，6月22日盘中触及211.37元附近；7月30日收盘最低至78.00元；8月中下旬反弹至107.82元后再次走弱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截至9月11日收盘价较52周高点回落约60.6%，但较52周低点仍有较大涨幅，近期处于高波动回调结构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约85.42元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收盘价83.34元低于MA5约2.4%</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约87.78元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收盘价低于MA10约5.0%</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约93.01元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收盘价低于MA20约10.4%；MA5低于MA10、MA10低于MA20，短期均线呈空头排列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平台模型压力与支撑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截至2026年9月7日，压力位约85.57元，支撑位约81.70元，近期平均成本约86.03元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属于同花顺平台模型计算结果，不等同于交易所披露数据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截至2026年9月11日，未找到能够交叉核实的DIF、DEA及柱体具体数值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从股价低于MA5、MA10、MA20及9月初放量下跌看，技术面更接近弱势或绿柱运行状态，但不对MACD具体数值作确定性判断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约41.94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处于中性偏弱区域，尚未达到典型极端超卖区间；具体更新时间和参数口径需以平台实时页面为准</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约26至27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根据2026年9月3日至9月11日收盘数据自行计算，已接近或进入短线超卖区域；短线下跌压力较大，但超卖不等于趋势反转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中轨约93.01元，上轨约107.84元，下轨约78.18元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收盘价位于中轨下方、靠近下轨区域；尚未有效跌破下轨，若后续收盘价持续运行在80元下方，78元附近可作为下一层观察位置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截至2026年9月4日，单日主力资金净流出约6,129万元，近5日累计净流出约3.32亿元；9月1日净流出约2.71亿元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资金面暂时偏弱；不同平台及分类口径存在差异，尚未核实2026年9月11日当日主力资金净流向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近期成交与换手</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8月27日至9月1日成交额约11.74亿至16.25亿元、换手率约7.26%至10.41%；9月2日至9月11日成交额约3.95亿至6.93亿元、换手率约2.92%至5.01%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8月底至9月初成交活跃度明显升高，随后量能回落；9月11日成交额约5.01亿元，处于近期中低水平，尚未出现明显放量修复信号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机构持仓与筹码结构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截至2026年6月30日，同花顺页面显示的机构持仓数据存在不一致：一处显示394家机构持有约3,735.29万股、占流通A股23.52%，另一处显示51家机构持有618.4万股、占比3.89%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无法据此确认唯一的股东集中度；数据截至9月11日已滞后约两个半月，且格林美于2026年8月31日披露拟继续出售不超过4.91%的股份，实际筹码结构可能已经变化</w:t>
            </w:r>
          </w:p>
        </w:tc>
      </w:tr>
    </w:tbl>
    <w:p>
      <w:pPr>
        <w:spacing w:before="200"/>
      </w:pPr>
    </w:p>
    <w:p>
      <w:pPr>
        <w:spacing w:after="160" w:line="300"/>
      </w:pPr>
      <w:r>
        <w:rPr>
          <w:sz w:val="22"/>
          <w:szCs w:val="22"/>
        </w:rPr>
        <w:t xml:space="preserve">欧科亿截至2026年9月11日收盘价为83.34元，处于MA5、MA10和MA20下方，短期均线呈空头排列，反弹后的短线动能继续减弱。股价已接近布林下轨约78.18元，RSI(6)约26至27、RSI(14)约41.94，显示短线压力较大并存在技术性反抽可能，但尚不足以确认趋势反转。近期主力资金流向整体偏弱，成交额较8月底至9月初明显回落；同时，机构持仓披露存在平台口径差异，且数据具有滞后性，格林美拟继续减持也可能增加阶段性供给压力。</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85.4~87.8元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对应MA5约85.42元、同花顺模型压力位约85.57元及MA10约87.78元。若反弹至该区间但无法放量站稳，可能仍属于弱势反抽；若有效突破87.8元，可继续观察90~93元区域。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80.3~83.3元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对应9月11日最低价80.29元、收盘价83.34元及近期约80~84元交易区域。若该区域获得承接，可能出现技术性反弹；若收盘价持续跌破80元，短线弱势结构将进一步确认。</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78.0~80.0元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对应7月30日收盘价78.00元及布林下轨估算约78.18元。若该区域被有效跌破，下一步需观察75元附近及前期低位区域，短线波动风险可能进一步扩大。</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左右；并非统计概率）：价格区间约80~88元。RSI(6)接近短线超卖且股价靠近布林下轨，存在技术性修复需求，但MA5、MA10、MA20仍为空头排列，主力资金近期偏流出，反弹空间可能受制于85~88元压力区。触发条件包括守住80~83元区域，日成交额维持约4~7亿元，下跌时成交额不再明显放大，且资金流向连续一至两个交易日改善。</w:t>
      </w:r>
    </w:p>
    <w:p>
      <w:pPr>
        <w:pStyle w:val="ListParagraph"/>
        <w:numPr>
          <w:ilvl w:val="0"/>
          <w:numId w:val="2"/>
        </w:numPr>
        <w:spacing w:after="80" w:line="280"/>
      </w:pPr>
      <w:r>
        <w:rPr>
          <w:sz w:val="22"/>
          <w:szCs w:val="22"/>
        </w:rPr>
        <w:t xml:space="preserve">偏弱下行（主观启发式权重中等，约三成左右；并非统计概率）：价格区间约75~81元。若80元附近支撑失效，且成交额放大、主力资金继续净流出，股价可能向布林下轨约78元及前期78元低位靠拢。触发条件包括收盘价有效跌破80元，单日成交额明显高于近期约5亿元常态，主力资金继续较大额净流出，或科创板、机械设备板块同步走弱。</w:t>
      </w:r>
    </w:p>
    <w:p>
      <w:pPr>
        <w:pStyle w:val="ListParagraph"/>
        <w:numPr>
          <w:ilvl w:val="0"/>
          <w:numId w:val="2"/>
        </w:numPr>
        <w:spacing w:after="80" w:line="280"/>
      </w:pPr>
      <w:r>
        <w:rPr>
          <w:sz w:val="22"/>
          <w:szCs w:val="22"/>
        </w:rPr>
        <w:t xml:space="preserve">反弹走强（主观启发式权重偏低，约两成左右；并非统计概率）：价格区间约86~93元。需要先收复85.4元附近MA5，再突破87.8元附近MA10，并且成交额明显放大，才可观察90~93元前期交易密集区。触发条件包括收盘价重新站上85.4~87.8元，单日成交额持续达到约8亿元或更高，主力资金由连续流出转为连续净流入，以及PCB、刀具或高端制造相关板块同步走强。</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3.83%，成交额约5.01亿元；近几个交易日换手率大致为2.92%~5.01%。8月27日至9月1日曾出现7.26%~10.41%的高换手阶段，成交额约11.74亿~16.25亿元，随后回落至约4亿~6亿元区间，说明当前仍有一定交易活跃度，但较前期高活跃阶段量能明显收缩。股东结构方面，截至2026年6月30日的机构持仓披露存在平台口径差异，无法确认唯一的前十大股东集中度；该数据截至9月11日已滞后约两个半月，且格林美于2026年8月31日披露拟继续出售不超过4.91%的股份，实际筹码结构可能已经变化。因此，当前流动性数据可用于观察近期交易活跃度，但不能据此精确判断最新筹码集中程度或机构持仓方向。</w:t>
      </w:r>
    </w:p>
    <w:p>
      <w:pPr>
        <w:spacing w:after="160" w:line="300"/>
      </w:pPr>
      <w:r>
        <w:rPr>
          <w:sz w:val="22"/>
          <w:szCs w:val="22"/>
        </w:rPr>
        <w:t xml:space="preserve">可检查的量能确认信号是：若后续单日成交额连续达到约8亿元以上，同时股价收盘站上85.4~87.8元压力区，可视为短线资金参与度改善的观察信号；若成交额放大但股价仍收在80元下方，则更可能代表抛压释放，而非有效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观察思路，非操作指令：关注80.3~83.3元区域能否形成短线支撑。</w:t>
      </w:r>
    </w:p>
    <w:p>
      <w:pPr>
        <w:pStyle w:val="ListParagraph"/>
        <w:numPr>
          <w:ilvl w:val="0"/>
          <w:numId w:val="2"/>
        </w:numPr>
        <w:spacing w:after="80" w:line="280"/>
      </w:pPr>
      <w:r>
        <w:rPr>
          <w:sz w:val="22"/>
          <w:szCs w:val="22"/>
        </w:rPr>
        <w:t xml:space="preserve">观察思路，非操作指令：关注78~80元强支撑区是否被收盘价有效跌破。</w:t>
      </w:r>
    </w:p>
    <w:p>
      <w:pPr>
        <w:pStyle w:val="ListParagraph"/>
        <w:numPr>
          <w:ilvl w:val="0"/>
          <w:numId w:val="2"/>
        </w:numPr>
        <w:spacing w:after="80" w:line="280"/>
      </w:pPr>
      <w:r>
        <w:rPr>
          <w:sz w:val="22"/>
          <w:szCs w:val="22"/>
        </w:rPr>
        <w:t xml:space="preserve">观察思路，非操作指令：关注85.4~87.8元压力区能否放量收复。</w:t>
      </w:r>
    </w:p>
    <w:p>
      <w:pPr>
        <w:pStyle w:val="ListParagraph"/>
        <w:numPr>
          <w:ilvl w:val="0"/>
          <w:numId w:val="2"/>
        </w:numPr>
        <w:spacing w:after="80" w:line="280"/>
      </w:pPr>
      <w:r>
        <w:rPr>
          <w:sz w:val="22"/>
          <w:szCs w:val="22"/>
        </w:rPr>
        <w:t xml:space="preserve">观察思路，非操作指令：关注成交额能否连续达到约8亿元以上，以及主力资金是否由净流出转为连续净流入。</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属硬质合金刀具和数控切削工具行业。数控刀具是数控机床的关键耗材，行业具有技术密集、制造流程长、质量控制点多、客户认证周期较长和产品具备消耗品属性等特点。需求与制造业设备开工率、机床数控化水平及加工复杂度相关。</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公司2025年年报引用行业数据称，2023年中国刀具行业市场规模约492亿元；2024年刀具海关进口额85.25亿元，同比下降2.66%。上述数据属于行业统计口径，不等同于数控刀片单一子行业规模，也不直接代表欧科亿的可获得市场空间。</w:t>
      </w:r>
    </w:p>
    <w:p>
      <w:pPr>
        <w:pStyle w:val="ListParagraph"/>
        <w:numPr>
          <w:ilvl w:val="0"/>
          <w:numId w:val="2"/>
        </w:numPr>
        <w:spacing w:after="80" w:line="280"/>
      </w:pPr>
      <w:r>
        <w:rPr>
          <w:sz w:val="22"/>
          <w:szCs w:val="22"/>
        </w:rPr>
        <w:t xml:space="preserve">2015年至2022年，中国进口刀具占比从37.20%下降至约27.20%，反映国产替代趋势持续推进。</w:t>
      </w:r>
    </w:p>
    <w:p>
      <w:pPr>
        <w:pStyle w:val="ListParagraph"/>
        <w:numPr>
          <w:ilvl w:val="0"/>
          <w:numId w:val="2"/>
        </w:numPr>
        <w:spacing w:after="80" w:line="280"/>
      </w:pPr>
      <w:r>
        <w:rPr>
          <w:sz w:val="22"/>
          <w:szCs w:val="22"/>
        </w:rPr>
        <w:t xml:space="preserve">行业竞争维度包括基体材料配方和性能、涂层技术、刀片牌号与槽型设计、产品一致性和寿命、高端难加工材料加工能力、客户现场应用服务、经销网络、海外渠道以及规模化生产和原材料采购能力。</w:t>
      </w:r>
    </w:p>
    <w:p>
      <w:pPr>
        <w:pStyle w:val="ListParagraph"/>
        <w:numPr>
          <w:ilvl w:val="0"/>
          <w:numId w:val="2"/>
        </w:numPr>
        <w:spacing w:after="80" w:line="280"/>
      </w:pPr>
      <w:r>
        <w:rPr>
          <w:sz w:val="22"/>
          <w:szCs w:val="22"/>
        </w:rPr>
        <w:t xml:space="preserve">竞争模式正由单纯低价产品竞争转向“刀具性能＋加工效率＋整体解决方案”的综合竞争。钨价和碳化钨价格上涨时，能够通过提价、库存管理、材料技术和产品升级消化成本的企业竞争优势相对更明显。</w:t>
      </w:r>
    </w:p>
    <w:p>
      <w:pPr>
        <w:pStyle w:val="ListParagraph"/>
        <w:numPr>
          <w:ilvl w:val="0"/>
          <w:numId w:val="2"/>
        </w:numPr>
        <w:spacing w:after="80" w:line="280"/>
      </w:pPr>
      <w:r>
        <w:rPr>
          <w:sz w:val="22"/>
          <w:szCs w:val="22"/>
        </w:rPr>
        <w:t xml:space="preserve">国内市场过去长期由欧美、日韩企业占据中高端市场，主要国际品牌包括山特维克、肯纳金属、伊斯卡、三菱材料、住友电工和京瓷等。</w:t>
      </w:r>
    </w:p>
    <w:p>
      <w:pPr>
        <w:pStyle w:val="ListParagraph"/>
        <w:numPr>
          <w:ilvl w:val="0"/>
          <w:numId w:val="2"/>
        </w:numPr>
        <w:spacing w:after="80" w:line="280"/>
      </w:pPr>
      <w:r>
        <w:rPr>
          <w:sz w:val="22"/>
          <w:szCs w:val="22"/>
        </w:rPr>
        <w:t xml:space="preserve">国内企业正通过扩大数控刀片产能、提升基材和涂层技术、进入汽车及航空航天等供应链、拓展整体刀具和超硬刀具、建设应用工程师及终端服务团队、提高海外渠道能力推进进口替代。</w:t>
      </w:r>
    </w:p>
    <w:p>
      <w:pPr>
        <w:pStyle w:val="ListParagraph"/>
        <w:numPr>
          <w:ilvl w:val="0"/>
          <w:numId w:val="2"/>
        </w:numPr>
        <w:spacing w:after="80" w:line="280"/>
      </w:pPr>
      <w:r>
        <w:rPr>
          <w:sz w:val="22"/>
          <w:szCs w:val="22"/>
        </w:rPr>
        <w:t xml:space="preserve">行业集中度仍低于国际成熟市场，但头部企业凭借资金、技术、品牌、客户认证和规模优势，集中度存在提升趋势。</w:t>
      </w:r>
    </w:p>
    <w:p>
      <w:pPr>
        <w:pStyle w:val="ListParagraph"/>
        <w:numPr>
          <w:ilvl w:val="0"/>
          <w:numId w:val="2"/>
        </w:numPr>
        <w:spacing w:after="80" w:line="280"/>
      </w:pPr>
      <w:r>
        <w:rPr>
          <w:sz w:val="22"/>
          <w:szCs w:val="22"/>
        </w:rPr>
        <w:t xml:space="preserve">欧科亿历史投资者交流口径曾披露数控刀片及其他数控刀具产能合计约1.3亿片，并具备约20%的弹性产能空间；该数据并非最新年度报告中的正式产能表，不能简单等同于2025年末实际有效产能。</w:t>
      </w:r>
    </w:p>
    <w:p>
      <w:pPr>
        <w:pStyle w:val="ListParagraph"/>
        <w:numPr>
          <w:ilvl w:val="0"/>
          <w:numId w:val="2"/>
        </w:numPr>
        <w:spacing w:after="80" w:line="280"/>
      </w:pPr>
      <w:r>
        <w:rPr>
          <w:sz w:val="22"/>
          <w:szCs w:val="22"/>
        </w:rPr>
        <w:t xml:space="preserve">截至2025年，公司数控刀具产品产量为8,953.27万片、万支，销量为10,667.03万片、万支，库存量为2,072.40万片、万支；销量超过产量主要与消化前期库存有关。</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华锐精密（688059）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主要聚焦硬质合金数控刀片，覆盖车削、铣削和钻削等产品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与欧科亿同属株洲地区硬质合金数控刀具企业，是直接可比公司之一。华锐精密更聚焦数控刀片，整体毛利率通常高于欧科亿；欧科亿产品结构更宽，覆盖硬质合金制品、棒材、整体刀具、刀体和整体解决方案。</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中钨高新（000657）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拥有较完整的钨产业链，布局钨资源、钨粉、碳化钨粉、硬质合金和数控刀具</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上游钨资源和材料保障能力更强，规模更大、业务更综合；欧科亿更偏民营制造企业，产品迭代相对灵活，刀具业务纯度更高。</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厦门钨业（600549）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通过厦门金鹭等子公司布局钨材料、硬质合金、切削刀具和刀具服务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产业链和综合规模更大，金鹭在硬质合金、数控刀具和高端材料方面具有较强品牌影响力；欧科亿体量较小，但更聚焦数控刀具、锯齿刀片、棒材和终端方案。</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沃尔德（688028）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主要聚焦超硬刀具和高精密刀具，包括PCD、PCBN、金刚石刀具及部分硬质合金刀具</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偏超硬材料和高精密、非标刀具；欧科亿以硬质合金数控刀片、硬质合金制品和整体刀具为主，双方在汽车、航空航天、3C和精密加工领域存在一定交叉，但产品结构并非完全重合。</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恒锋工具（300488）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主要从事精密复杂刃量具、精密高效刀具和部分高端非标刀具</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更偏复杂刃量具、非标刀具和高精度定制产品；欧科亿更偏标准化、系列化数控刀片及硬质合金材料，在规模化硬质合金刀具和材料协同方面更突出。</w:t>
            </w:r>
          </w:p>
        </w:tc>
      </w:tr>
    </w:tbl>
    <w:p>
      <w:pPr>
        <w:spacing w:before="200"/>
      </w:pPr>
    </w:p>
    <w:p>
      <w:pPr>
        <w:spacing w:after="160" w:line="300"/>
      </w:pPr>
      <w:r>
        <w:rPr>
          <w:sz w:val="22"/>
          <w:szCs w:val="22"/>
        </w:rPr>
        <w:t xml:space="preserve">欧科亿相较华锐精密产品结构更宽，覆盖硬质合金制品、棒材、整体刀具、刀体、超硬刀具及整体解决方案；相较中钨高新和厦门钨业，公司不具备钨矿资源和大型综合产业链优势，但刀具业务更聚焦、制造组织相对灵活；相较沃尔德和恒锋工具，公司更偏标准化、系列化硬质合金刀具及材料协同，而非超硬材料或高端非标定制。其竞争力主要取决于材料配方、涂层和刀具结构技术、规模化制造、客户认证、终端应用服务以及高附加值产品占比提升。</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业绩低基数效应风险：2026年上半年归母净利润同比大幅增长，但2025年同期归母净利润仅77.54万元，当前高增速存在明显基数因素，后续利润增速可能回落。</w:t>
      </w:r>
    </w:p>
    <w:p>
      <w:pPr>
        <w:pStyle w:val="ListParagraph"/>
        <w:numPr>
          <w:ilvl w:val="0"/>
          <w:numId w:val="2"/>
        </w:numPr>
        <w:spacing w:after="80" w:line="280"/>
      </w:pPr>
      <w:r>
        <w:rPr>
          <w:sz w:val="22"/>
          <w:szCs w:val="22"/>
        </w:rPr>
        <w:t xml:space="preserve">钨价及提价持续性风险：2026年上半年业绩受碳化钨等原材料价格上涨后的产品价格调整推动，相关价格传导、库存收益和毛利率改善能否延续存在不确定性；公司并非钨矿资源企业，对上游资源价格缺乏绝对控制力。</w:t>
      </w:r>
    </w:p>
    <w:p>
      <w:pPr>
        <w:pStyle w:val="ListParagraph"/>
        <w:numPr>
          <w:ilvl w:val="0"/>
          <w:numId w:val="2"/>
        </w:numPr>
        <w:spacing w:after="80" w:line="280"/>
      </w:pPr>
      <w:r>
        <w:rPr>
          <w:sz w:val="22"/>
          <w:szCs w:val="22"/>
        </w:rPr>
        <w:t xml:space="preserve">现金流与营运资金风险：2026年上半年经营活动现金流净额为-3.10亿元；截至2024年末应收账款账面价值3.898亿元、存货6.311亿元，存货同比增长27.70%，若应收回款或库存周转不及预期，可能加大资金占用和减值压力。</w:t>
      </w:r>
    </w:p>
    <w:p>
      <w:pPr>
        <w:pStyle w:val="ListParagraph"/>
        <w:numPr>
          <w:ilvl w:val="0"/>
          <w:numId w:val="2"/>
        </w:numPr>
        <w:spacing w:after="80" w:line="280"/>
      </w:pPr>
      <w:r>
        <w:rPr>
          <w:sz w:val="22"/>
          <w:szCs w:val="22"/>
        </w:rPr>
        <w:t xml:space="preserve">毛利率下行风险：公司数控刀具产品毛利率由2023年的40.42%降至2025年的25.44%，新增产能爬坡、折旧和人工制造费用增加，以及整体解决方案中外购产品占比较高，可能继续压制综合盈利能力。</w:t>
      </w:r>
    </w:p>
    <w:p>
      <w:pPr>
        <w:pStyle w:val="ListParagraph"/>
        <w:numPr>
          <w:ilvl w:val="0"/>
          <w:numId w:val="2"/>
        </w:numPr>
        <w:spacing w:after="80" w:line="280"/>
      </w:pPr>
      <w:r>
        <w:rPr>
          <w:sz w:val="22"/>
          <w:szCs w:val="22"/>
        </w:rPr>
        <w:t xml:space="preserve">并购整合风险：拟以约4.25亿元自筹资金取得永鑫精工51%股权，但截至2026年9月13日尚未完成股东会审议和交割；PCB钻针业务后续能否实现协同、达到预期盈利贡献仍存在不确定性。</w:t>
      </w:r>
    </w:p>
    <w:p>
      <w:pPr>
        <w:pStyle w:val="ListParagraph"/>
        <w:numPr>
          <w:ilvl w:val="0"/>
          <w:numId w:val="2"/>
        </w:numPr>
        <w:spacing w:after="80" w:line="280"/>
      </w:pPr>
      <w:r>
        <w:rPr>
          <w:sz w:val="22"/>
          <w:szCs w:val="22"/>
        </w:rPr>
        <w:t xml:space="preserve">子公司融资及回购义务风险：拟对全资子公司增资扩股并引入约8亿元外部投资者，投资方享有回购权、反稀释及优先清算等权利；若未能按约定推进合格IPO申报或股权上翻，可能触发相关回购安排。</w:t>
      </w:r>
    </w:p>
    <w:p>
      <w:pPr>
        <w:pStyle w:val="ListParagraph"/>
        <w:numPr>
          <w:ilvl w:val="0"/>
          <w:numId w:val="2"/>
        </w:numPr>
        <w:spacing w:after="80" w:line="280"/>
      </w:pPr>
      <w:r>
        <w:rPr>
          <w:sz w:val="22"/>
          <w:szCs w:val="22"/>
        </w:rPr>
        <w:t xml:space="preserve">供应商集中度风险：2024年前五名供应商采购额占年度采购总额57.80%，公司未披露单一供应商依赖程度，若主要供应商供货、价格或结算条件发生变化，可能影响原材料保障和成本控制。</w:t>
      </w:r>
    </w:p>
    <w:p>
      <w:pPr>
        <w:pStyle w:val="ListParagraph"/>
        <w:numPr>
          <w:ilvl w:val="0"/>
          <w:numId w:val="2"/>
        </w:numPr>
        <w:spacing w:after="80" w:line="280"/>
      </w:pPr>
      <w:r>
        <w:rPr>
          <w:sz w:val="22"/>
          <w:szCs w:val="22"/>
        </w:rPr>
        <w:t xml:space="preserve">股东减持与股价波动风险：格林美披露拟继续出售不超过779.05万股、约占总股本4.91%的股份，若计划实施可能增加阶段性市场供给；同时公司股价较52周高点回落约60.6%，短期均线空头排列，资金净流出和成交量回落可能放大价格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业绩改善的核心逻辑在于高端数控刀具放量、棒材和整体刀具占比提升、产品提价以及钨基材料价格变化带来的价格传导。公司相较单一刀片企业产品结构更宽，并通过刀具产品、加工工艺服务和现场技术支持向整体解决方案升级，若新增产能利用率提升、产业园产能顺利消化且高附加值产品持续增长，利润率和规模效应仍有改善空间。</w:t>
      </w:r>
    </w:p>
    <w:p>
      <w:pPr>
        <w:spacing w:after="160" w:line="300"/>
      </w:pPr>
      <w:r>
        <w:rPr>
          <w:sz w:val="22"/>
          <w:szCs w:val="22"/>
        </w:rPr>
        <w:t xml:space="preserve">未来增长还可能来自PCB钻针等高端精密工具业务以及子公司融资扩张，但相关交易尚处于审议或推进阶段，不能将潜在业务贡献等同于已经实现的经营成果。机构对2026年归母净利润预测均值约5.94亿元，但2027年和2028年预测区间较宽，反映市场对钨价、提价持续性、库存收益及新业务盈利能力存在较大分歧。</w:t>
      </w:r>
    </w:p>
    <w:p>
      <w:pPr>
        <w:spacing w:after="160" w:line="300"/>
      </w:pPr>
      <w:r>
        <w:rPr>
          <w:sz w:val="22"/>
          <w:szCs w:val="22"/>
        </w:rPr>
        <w:t xml:space="preserve">公司当前估值和股价表现同时受到业绩高增长与持续性不确定性的影响。2026年上半年业绩存在低基数效应，经营活动现金流为负且存货、原材料资金占用增加；技术面上需关注80—83元区域及78—80元附近支撑能否有效，若后续反弹则85.4—87.8元压力区和量能变化可作为观察指标。上述因素应结合后续财报、交易进展和现金流表现综合评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欧科亿(688308)_公司公告_欧科亿：2026年半年度报告新浪财经_新浪网 — https://money.finance.sina.com.cn/corp/view/vCB_AllBulletinDetail.php?id=12536060&amp;stockid=688308</w:t>
      </w:r>
    </w:p>
    <w:p>
      <w:pPr>
        <w:spacing w:after="200"/>
      </w:pPr>
      <w:r>
        <w:rPr>
          <w:i/>
          <w:iCs/>
          <w:color w:val="595959"/>
          <w:sz w:val="18"/>
          <w:szCs w:val="18"/>
        </w:rPr>
        <w:t xml:space="preserve">欧科亿(688308)_公司公告_欧科亿：2025年年度报告摘要新浪财经_新浪网 — https://money.finance.sina.com.cn/corp/view/vCB_AllBulletinDetail.php?id=12161017&amp;stockid=688308&amp;utm_source=openai</w:t>
      </w:r>
    </w:p>
    <w:p>
      <w:pPr>
        <w:spacing w:after="200"/>
      </w:pPr>
      <w:r>
        <w:rPr>
          <w:i/>
          <w:iCs/>
          <w:color w:val="595959"/>
          <w:sz w:val="18"/>
          <w:szCs w:val="18"/>
        </w:rPr>
        <w:t xml:space="preserve">欧科亿(688308) 盈利预测_F10_同花顺金融服务网 — https://basic.10jqka.com.cn/688308/worth.html?utm_source=openai</w:t>
      </w:r>
    </w:p>
    <w:p>
      <w:pPr>
        <w:spacing w:after="200"/>
      </w:pPr>
      <w:r>
        <w:rPr>
          <w:i/>
          <w:iCs/>
          <w:color w:val="595959"/>
          <w:sz w:val="18"/>
          <w:szCs w:val="18"/>
        </w:rPr>
        <w:t xml:space="preserve">H3_AP202607171827060108_1 | PDF — https://www.scribd.com/document/1063195147/H3-AP202607171827060108-1?utm_source=openai</w:t>
      </w:r>
    </w:p>
    <w:p>
      <w:pPr>
        <w:spacing w:after="200"/>
      </w:pPr>
      <w:r>
        <w:rPr>
          <w:i/>
          <w:iCs/>
          <w:color w:val="595959"/>
          <w:sz w:val="18"/>
          <w:szCs w:val="18"/>
        </w:rPr>
        <w:t xml:space="preserve">华鑫证券-欧科亿(688308)公司动态研究报告：量价齐升业绩向好，格局重塑龙头启航-260510.pdf — https://pdf.dfcfw.com/pdf/H3_AP202605101822123829_1.pdf?1778428189000.pdf=</w:t>
      </w:r>
    </w:p>
    <w:p>
      <w:pPr>
        <w:spacing w:after="200"/>
      </w:pPr>
      <w:r>
        <w:rPr>
          <w:i/>
          <w:iCs/>
          <w:color w:val="595959"/>
          <w:sz w:val="18"/>
          <w:szCs w:val="18"/>
        </w:rPr>
        <w:t xml:space="preserve">欧科亿(688308.SH)公司快报：业绩同比高增，AIPCB第二曲线加速 - 国投证券 ｜ 发现报告 — https://www.fxbaogao.com/detail/5644614?utm_source=openai</w:t>
      </w:r>
    </w:p>
    <w:p>
      <w:pPr>
        <w:spacing w:after="200"/>
      </w:pPr>
      <w:r>
        <w:rPr>
          <w:i/>
          <w:iCs/>
          <w:color w:val="595959"/>
          <w:sz w:val="18"/>
          <w:szCs w:val="18"/>
        </w:rPr>
        <w:t xml:space="preserve">欧科亿(688308) 盈利预测_F10_同花顺金融服务网 — https://basic.10jqka.com.cn/688308/worth.html</w:t>
      </w:r>
    </w:p>
    <w:p>
      <w:pPr>
        <w:spacing w:after="200"/>
      </w:pPr>
      <w:r>
        <w:rPr>
          <w:i/>
          <w:iCs/>
          <w:color w:val="595959"/>
          <w:sz w:val="18"/>
          <w:szCs w:val="18"/>
        </w:rPr>
        <w:t xml:space="preserve">欧科亿(688308)：一季度业绩亮眼 26年受益钨价业绩弹性充足__新浪财经_新浪网 — https://stock.finance.sina.com.cn/stock/go.php/vReport_Show/kind/search/rptid/830470380241/index.phtml?utm_source=openai</w:t>
      </w:r>
    </w:p>
    <w:p>
      <w:pPr>
        <w:spacing w:after="200"/>
      </w:pPr>
      <w:r>
        <w:rPr>
          <w:i/>
          <w:iCs/>
          <w:color w:val="595959"/>
          <w:sz w:val="18"/>
          <w:szCs w:val="18"/>
        </w:rPr>
        <w:t xml:space="preserve">机构评级|东吴证券给予欧科亿“增持”评级 未给出目标价 — https://stock.10jqka.com.cn/20260717/c678257686.shtml</w:t>
      </w:r>
    </w:p>
    <w:p>
      <w:pPr>
        <w:spacing w:after="200"/>
      </w:pPr>
      <w:r>
        <w:rPr>
          <w:i/>
          <w:iCs/>
          <w:color w:val="595959"/>
          <w:sz w:val="18"/>
          <w:szCs w:val="18"/>
        </w:rPr>
        <w:t xml:space="preserve">欧科亿(688308)市盈率|估值|基本面 - 理杏仁 — https://www.lixinger.com/equity/company/detail/sh/688308/688308/fundamental/valuation/pe-ttm?utm_source=openai</w:t>
      </w:r>
    </w:p>
    <w:p>
      <w:pPr>
        <w:spacing w:after="200"/>
      </w:pPr>
      <w:r>
        <w:rPr>
          <w:i/>
          <w:iCs/>
          <w:color w:val="595959"/>
          <w:sz w:val="18"/>
          <w:szCs w:val="18"/>
        </w:rPr>
        <w:t xml:space="preserve">民生证券股份有限公司关于 — https://static.sse.com.cn/stock/disclosure/announcement/c/202206/688308_20220609_SLG9.pdf?utm_source=openai</w:t>
      </w:r>
    </w:p>
    <w:p>
      <w:pPr>
        <w:spacing w:after="200"/>
      </w:pPr>
      <w:r>
        <w:rPr>
          <w:i/>
          <w:iCs/>
          <w:color w:val="595959"/>
          <w:sz w:val="18"/>
          <w:szCs w:val="18"/>
        </w:rPr>
        <w:t xml:space="preserve">欧科亿(688308)_公司公告_欧科亿：2026年第一次临时股东会会议资料新浪财经_新浪网 — https://money.finance.sina.com.cn/corp/view/vCB_AllBulletinDetail.php?id=12584121&amp;stockid=688308&amp;utm_source=openai</w:t>
      </w:r>
    </w:p>
    <w:p>
      <w:pPr>
        <w:spacing w:after="200"/>
      </w:pPr>
      <w:r>
        <w:rPr>
          <w:i/>
          <w:iCs/>
          <w:color w:val="595959"/>
          <w:sz w:val="18"/>
          <w:szCs w:val="18"/>
        </w:rPr>
        <w:t xml:space="preserve">欧科亿披露子公司增资扩股方案：合计出资8亿元引入工业母机产投基金 投前估值达12亿元_新浪财经_新浪网 — https://finance.sina.com.cn/stock/aigc/tzxm/2026-08-26/doc-iniprytn5587253.shtml?utm_source=openai</w:t>
      </w:r>
    </w:p>
    <w:p>
      <w:pPr>
        <w:spacing w:after="200"/>
      </w:pPr>
      <w:r>
        <w:rPr>
          <w:i/>
          <w:iCs/>
          <w:color w:val="595959"/>
          <w:sz w:val="18"/>
          <w:szCs w:val="18"/>
        </w:rPr>
        <w:t xml:space="preserve">公司公告_欧科亿：股东询价转让结果报告书暨持股5%以上股东持有权益比例降至5%以下的权益变动提示性公告新浪财经_新浪网 — https://vip.stock.finance.sina.com.cn/corp/view/vCB_AllBulletinDetail.php?id=12366423&amp;utm_source=openai</w:t>
      </w:r>
    </w:p>
    <w:p>
      <w:pPr>
        <w:spacing w:after="200"/>
      </w:pPr>
      <w:r>
        <w:rPr>
          <w:i/>
          <w:iCs/>
          <w:color w:val="595959"/>
          <w:sz w:val="18"/>
          <w:szCs w:val="18"/>
        </w:rPr>
        <w:t xml:space="preserve">欧科亿(688308)_公司公告_欧科亿：关于变更回购股份用途并注销暨减少注册资本的公告新浪财经_新浪网 — https://vip.stock.finance.sina.com.cn/corp/view/vCB_AllBulletinDetail.php?id=12584138&amp;stockid=688308&amp;utm_source=openai</w:t>
      </w:r>
    </w:p>
    <w:p>
      <w:pPr>
        <w:spacing w:after="200"/>
      </w:pPr>
      <w:r>
        <w:rPr>
          <w:i/>
          <w:iCs/>
          <w:color w:val="595959"/>
          <w:sz w:val="18"/>
          <w:szCs w:val="18"/>
        </w:rPr>
        <w:t xml:space="preserve">欧科亿(688308)_公司公告_欧科亿：关于公司董事会换届选举的公告新浪财经_新浪网 — https://money.finance.sina.com.cn/corp/view/vCB_AllBulletinDetail.php?id=12584142&amp;stockid=688308</w:t>
      </w:r>
    </w:p>
    <w:p>
      <w:pPr>
        <w:spacing w:after="200"/>
      </w:pPr>
      <w:r>
        <w:rPr>
          <w:i/>
          <w:iCs/>
          <w:color w:val="595959"/>
          <w:sz w:val="18"/>
          <w:szCs w:val="18"/>
        </w:rPr>
        <w:t xml:space="preserve">欧科亿(688308)_公司公告_欧科亿：2026年半年度业绩预告的自愿性披露公告新浪财经_新浪网 — https://money.finance.sina.com.cn/corp/view/vCB_AllBulletinDetail.php?id=12450257&amp;stockid=688308</w:t>
      </w:r>
    </w:p>
    <w:p>
      <w:pPr>
        <w:spacing w:after="200"/>
      </w:pPr>
      <w:r>
        <w:rPr>
          <w:i/>
          <w:iCs/>
          <w:color w:val="595959"/>
          <w:sz w:val="18"/>
          <w:szCs w:val="18"/>
        </w:rPr>
        <w:t xml:space="preserve">欧科亿(688308)_公司公告_欧科亿：关于2026年湖南辖区上市公司投资者网上集体接待日暨半年度业绩说明会的公告新浪财经_新浪网 — https://money.finance.sina.com.cn/corp/view/vCB_AllBulletinDetail.php?id=12575921&amp;stockid=688308&amp;utm_source=openai</w:t>
      </w:r>
    </w:p>
    <w:p>
      <w:pPr>
        <w:spacing w:after="200"/>
      </w:pPr>
      <w:r>
        <w:rPr>
          <w:i/>
          <w:iCs/>
          <w:color w:val="595959"/>
          <w:sz w:val="18"/>
          <w:szCs w:val="18"/>
        </w:rPr>
        <w:t xml:space="preserve">欧科亿(688308)_重大事项提醒与新闻公告_投资提醒_新浪财经_新浪网 — https://vip.stock.finance.sina.com.cn/corp/view/vCB_AllMemordDetail.php?stockid=688308</w:t>
      </w:r>
    </w:p>
    <w:p>
      <w:pPr>
        <w:spacing w:after="200"/>
      </w:pPr>
      <w:r>
        <w:rPr>
          <w:i/>
          <w:iCs/>
          <w:color w:val="595959"/>
          <w:sz w:val="18"/>
          <w:szCs w:val="18"/>
        </w:rPr>
        <w:t xml:space="preserve">监管问询 | 上海证券交易所 — https://www.sse.com.cn/star/credibility/inquiries/?utm_source=openai</w:t>
      </w:r>
    </w:p>
    <w:p>
      <w:pPr>
        <w:spacing w:after="200"/>
      </w:pPr>
      <w:r>
        <w:rPr>
          <w:i/>
          <w:iCs/>
          <w:color w:val="595959"/>
          <w:sz w:val="18"/>
          <w:szCs w:val="18"/>
        </w:rPr>
        <w:t xml:space="preserve">欧科亿(688308)_股票行情，行情首页_中财网 — https://quote.cfi.cn/quote113903_688308.html?utm_source=openai</w:t>
      </w:r>
    </w:p>
    <w:p>
      <w:pPr>
        <w:spacing w:after="200"/>
      </w:pPr>
      <w:r>
        <w:rPr>
          <w:i/>
          <w:iCs/>
          <w:color w:val="595959"/>
          <w:sz w:val="18"/>
          <w:szCs w:val="18"/>
        </w:rPr>
        <w:t xml:space="preserve">欧科亿 (688308) - 历史交易数据 | 打板客网 — https://dabanke.com/hangqing-688308.html</w:t>
      </w:r>
    </w:p>
    <w:p>
      <w:pPr>
        <w:spacing w:after="200"/>
      </w:pPr>
      <w:r>
        <w:rPr>
          <w:i/>
          <w:iCs/>
          <w:color w:val="595959"/>
          <w:sz w:val="18"/>
          <w:szCs w:val="18"/>
        </w:rPr>
        <w:t xml:space="preserve">欧科亿(688308)个股分析_牛叉诊股_同花顺财经 — https://doctor.10jqka.com.cn/688308/?utm_source=openai</w:t>
      </w:r>
    </w:p>
    <w:p>
      <w:pPr>
        <w:spacing w:after="200"/>
      </w:pPr>
      <w:r>
        <w:rPr>
          <w:i/>
          <w:iCs/>
          <w:color w:val="595959"/>
          <w:sz w:val="18"/>
          <w:szCs w:val="18"/>
        </w:rPr>
        <w:t xml:space="preserve">688308 | OKE Precision Cutting Tools Co Ltd股市 - Investing.com — https://hk.investing.com/equities/oke-precision-cutting-tools?utm_source=openai</w:t>
      </w:r>
    </w:p>
    <w:p>
      <w:pPr>
        <w:spacing w:after="200"/>
      </w:pPr>
      <w:r>
        <w:rPr>
          <w:i/>
          <w:iCs/>
          <w:color w:val="595959"/>
          <w:sz w:val="18"/>
          <w:szCs w:val="18"/>
        </w:rPr>
        <w:t xml:space="preserve">欧科亿(688308)股票信息 - 数据平台 — https://data.agoer.com/cms/Index/detail?id=688308&amp;utm_source=openai</w:t>
      </w:r>
    </w:p>
    <w:p>
      <w:pPr>
        <w:spacing w:after="200"/>
      </w:pPr>
      <w:r>
        <w:rPr>
          <w:i/>
          <w:iCs/>
          <w:color w:val="595959"/>
          <w:sz w:val="18"/>
          <w:szCs w:val="18"/>
        </w:rPr>
        <w:t xml:space="preserve">欧科亿(688308)个股分析_牛叉诊股_同花顺财经 — https://doctor.10jqka.com.cn/688308/</w:t>
      </w:r>
    </w:p>
    <w:p>
      <w:pPr>
        <w:spacing w:after="200"/>
      </w:pPr>
      <w:r>
        <w:rPr>
          <w:i/>
          <w:iCs/>
          <w:color w:val="595959"/>
          <w:sz w:val="18"/>
          <w:szCs w:val="18"/>
        </w:rPr>
        <w:t xml:space="preserve">本报告由AI基于公开渠道信息自动检索、整理并生成，信息截至 行情及技术指标数据截至2026年9月11日收盘；9月13日为周日，9月11日为最近交易日。均线、布林带等部分指标基于2026年8月17日至9月11日收盘数据自行计算或估算。，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2026-09-13T16:21:46.521Z</dcterms:created>
  <dcterms:modified xsi:type="dcterms:W3CDTF">2026-09-13T16:21:46.521Z</dcterms:modified>
</cp:coreProperties>
</file>

<file path=docProps/custom.xml><?xml version="1.0" encoding="utf-8"?>
<Properties xmlns="http://schemas.openxmlformats.org/officeDocument/2006/custom-properties" xmlns:vt="http://schemas.openxmlformats.org/officeDocument/2006/docPropsVTypes"/>
</file>