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华润微电子有限公司（华润微） (688396)</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行业：功率半导体与IDM综合半导体</w:t>
      </w:r>
    </w:p>
    <w:p>
      <w:pPr>
        <w:jc w:val="center"/>
      </w:pPr>
      <w:r>
        <w:rPr>
          <w:color w:val="595959"/>
          <w:sz w:val="22"/>
          <w:szCs w:val="22"/>
        </w:rPr>
        <w:t xml:space="preserve">报告日期：2026年9月13日</w:t>
      </w:r>
    </w:p>
    <w:p>
      <w:pPr>
        <w:jc w:val="center"/>
      </w:pPr>
      <w:r>
        <w:rPr>
          <w:color w:val="595959"/>
          <w:sz w:val="20"/>
          <w:szCs w:val="20"/>
        </w:rPr>
        <w:t xml:space="preserve">截至2026年9月11日收盘；2026年9月12日至13日为周末，暂无新的A股收盘数据。部分技术指标为基于公开历史收盘价自行计算，部分行情及股东数据存在平台口径差异。</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华润微2026年上半年实现营业收入61.28亿元，同比增长17.44%；归母净利润7.22亿元，同比增长113.23%；扣非归母净利润4.14亿元，同比增长51.48%，经营活动现金流净额13.91亿元，同比增长95.13%，显示收入、主营盈利和现金流均较2025年明显改善。但上半年归母净利润与扣非归母净利润相差约3.08亿元，且一季度包含约1.85亿元金融资产公允价值变动收益，表观利润高增长不能完全等同于主营盈利能力增长。</w:t>
      </w:r>
    </w:p>
    <w:p>
      <w:pPr>
        <w:spacing w:after="160" w:line="300"/>
      </w:pPr>
      <w:r>
        <w:rPr>
          <w:sz w:val="22"/>
          <w:szCs w:val="22"/>
        </w:rPr>
        <w:t xml:space="preserve">公司以IDM为核心，覆盖功率器件设计、晶圆制造、封装测试、掩模及产品方案，2025年产品与方案收入60.28亿元，同比增长16.98%，制造与服务收入47.93亿元，同比增长2.24%。近期增长动力来自半导体景气回升、产能利用率接近满载、产品价格调整，以及AI服务器电源、汽车电子、泛新能源和碳化硅产品放量；其中2026年上半年碳化硅收入同比翻番以上，汽车和储能终端收入合计约占碳化硅业务的85%。</w:t>
      </w:r>
    </w:p>
    <w:p>
      <w:pPr>
        <w:spacing w:after="160" w:line="300"/>
      </w:pPr>
      <w:r>
        <w:rPr>
          <w:sz w:val="22"/>
          <w:szCs w:val="22"/>
        </w:rPr>
        <w:t xml:space="preserve">公司仍处于高资本开支后的产线爬坡和盈利修复阶段，2025年主营业务毛利率降至26.51%、归母净利率约5.98%，12英寸产线折旧、利用率和产品价格竞争仍是利润率的主要约束。机构对2026年归母净利润预测区间为9.70亿至15.95亿元，分歧较大；截至2026年9月11日股价约55.99元，低于MA5、MA10和MA20，MACD为负、资金面偏弱，短期处于高位回撤后的弱势整理状态。</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688396</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2020年2月27日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开曼群岛</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主要经营和产业布局</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中国大陆，核心基地分布在无锡、重庆、深圳等地</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最新完整年度经营数据</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截至2026年9月13日，可查到的最新完整年度经营数据为2025年年度报告，公告日期为2026年4月25日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经营模式</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以IDM为主，同时提供开放式晶圆制造和封装测试服务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2025年主营业务收入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108.21亿元，占全年营业收入110.54亿元的97.9%</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2025年研发投入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11.68亿元，占营业收入约10.57%</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功率半导体：包括MOSFET、IGBT、SBD、FRD等功率二极管、功率IC、IPM、功率模块以及SiC、GaN等第三代半导体产品，应用于汽车电子、光伏逆变器、储能、工业控制、UPS、变频器、充电桩、家电、电源管理、AI服务器电源及通信设备等领域</w:t>
      </w:r>
    </w:p>
    <w:p>
      <w:pPr>
        <w:pStyle w:val="ListParagraph"/>
        <w:numPr>
          <w:ilvl w:val="0"/>
          <w:numId w:val="2"/>
        </w:numPr>
        <w:spacing w:after="80" w:line="280"/>
      </w:pPr>
      <w:r>
        <w:rPr>
          <w:sz w:val="22"/>
          <w:szCs w:val="22"/>
        </w:rPr>
        <w:t xml:space="preserve">智能传感器：包括光电传感器、烟雾传感器、MEMS传感器、惯性、健康检测及其他智能感知类产品</w:t>
      </w:r>
    </w:p>
    <w:p>
      <w:pPr>
        <w:pStyle w:val="ListParagraph"/>
        <w:numPr>
          <w:ilvl w:val="0"/>
          <w:numId w:val="2"/>
        </w:numPr>
        <w:spacing w:after="80" w:line="280"/>
      </w:pPr>
      <w:r>
        <w:rPr>
          <w:sz w:val="22"/>
          <w:szCs w:val="22"/>
        </w:rPr>
        <w:t xml:space="preserve">智能控制和模拟类集成电路：包括MCU、PMIC电源管理芯片、电机驱动芯片、BMS相关芯片以及信号链、BCD等特色工艺芯片</w:t>
      </w:r>
    </w:p>
    <w:p>
      <w:pPr>
        <w:pStyle w:val="ListParagraph"/>
        <w:numPr>
          <w:ilvl w:val="0"/>
          <w:numId w:val="2"/>
        </w:numPr>
        <w:spacing w:after="80" w:line="280"/>
      </w:pPr>
      <w:r>
        <w:rPr>
          <w:sz w:val="22"/>
          <w:szCs w:val="22"/>
        </w:rPr>
        <w:t xml:space="preserve">产品与方案：2025年收入60.28亿元，同比增长16.98%，毛利率22.17%；主要对应自有功率器件、智能传感器、智能控制产品及系统解决方案</w:t>
      </w:r>
    </w:p>
    <w:p>
      <w:pPr>
        <w:pStyle w:val="ListParagraph"/>
        <w:numPr>
          <w:ilvl w:val="0"/>
          <w:numId w:val="2"/>
        </w:numPr>
        <w:spacing w:after="80" w:line="280"/>
      </w:pPr>
      <w:r>
        <w:rPr>
          <w:sz w:val="22"/>
          <w:szCs w:val="22"/>
        </w:rPr>
        <w:t xml:space="preserve">制造与服务：2025年收入47.93亿元，同比增长2.24%，毛利率31.97%；包括开放式晶圆制造、封装测试、掩模制造及相关半导体制造服务</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华润微处于功率半导体产业链的“中游IDM平台+部分下游产品方案”位置，覆盖功率器件设计、晶圆制造、封装测试、掩模及终端产品销售，既不是单纯的晶圆代工厂，也不是只做芯片设计的Fabless公司。</w:t>
      </w:r>
    </w:p>
    <w:p>
      <w:pPr>
        <w:pStyle w:val="ListParagraph"/>
        <w:numPr>
          <w:ilvl w:val="0"/>
          <w:numId w:val="2"/>
        </w:numPr>
        <w:spacing w:after="80" w:line="280"/>
      </w:pPr>
      <w:r>
        <w:rPr>
          <w:sz w:val="22"/>
          <w:szCs w:val="22"/>
        </w:rPr>
        <w:t xml:space="preserve">主要投入包括晶圆制造所需的硅片、光刻胶及其他化学品、特种气体、靶材和耗材；封装测试所需的引线框架、塑封料、键合线、载板及其他封装材料；以及光刻、刻蚀、薄膜沉积、清洗、测试和封装设备等。</w:t>
      </w:r>
    </w:p>
    <w:p>
      <w:pPr>
        <w:pStyle w:val="ListParagraph"/>
        <w:numPr>
          <w:ilvl w:val="0"/>
          <w:numId w:val="2"/>
        </w:numPr>
        <w:spacing w:after="80" w:line="280"/>
      </w:pPr>
      <w:r>
        <w:rPr>
          <w:sz w:val="22"/>
          <w:szCs w:val="22"/>
        </w:rPr>
        <w:t xml:space="preserve">公司年报披露，晶圆制造服务主要采购硅片、化学品等原材料，封装测试服务主要采购引线框、塑封料等材料，并采用“以产定采”模式，根据供应情况、价格、交货周期和生产计划安排安全库存。</w:t>
      </w:r>
    </w:p>
    <w:p>
      <w:pPr>
        <w:pStyle w:val="ListParagraph"/>
        <w:numPr>
          <w:ilvl w:val="0"/>
          <w:numId w:val="2"/>
        </w:numPr>
        <w:spacing w:after="80" w:line="280"/>
      </w:pPr>
      <w:r>
        <w:rPr>
          <w:sz w:val="22"/>
          <w:szCs w:val="22"/>
        </w:rPr>
        <w:t xml:space="preserve">2025年直接材料成本29.39亿元，占集成电路业务成本36.96%；直接人工16.33亿元，占20.54%；其他制造费用33.79亿元，占42.50%。成本除受硅片、化学品和封装材料价格影响外，也明显受折旧、设备利用率、人工及其他制造费用影响。</w:t>
      </w:r>
    </w:p>
    <w:p>
      <w:pPr>
        <w:pStyle w:val="ListParagraph"/>
        <w:numPr>
          <w:ilvl w:val="0"/>
          <w:numId w:val="2"/>
        </w:numPr>
        <w:spacing w:after="80" w:line="280"/>
      </w:pPr>
      <w:r>
        <w:rPr>
          <w:sz w:val="22"/>
          <w:szCs w:val="22"/>
        </w:rPr>
        <w:t xml:space="preserve">硅片、化学品、特种气体、封装材料及部分设备供应商存在一定行业集中度，部分高规格材料和设备技术门槛较高，公司并非对所有上游投入都具备强议价权，更接近部分关键投入的价格接受者。公司可依靠采购规模、长期合作、合格供应商名录和集中采购降低供应风险。</w:t>
      </w:r>
    </w:p>
    <w:p>
      <w:pPr>
        <w:pStyle w:val="ListParagraph"/>
        <w:numPr>
          <w:ilvl w:val="0"/>
          <w:numId w:val="2"/>
        </w:numPr>
        <w:spacing w:after="80" w:line="280"/>
      </w:pPr>
      <w:r>
        <w:rPr>
          <w:sz w:val="22"/>
          <w:szCs w:val="22"/>
        </w:rPr>
        <w:t xml:space="preserve">2025年前五大供应商采购额15.37亿元，占年度采购总额16.52%；其中关联方采购额6.97亿元，占年度采购总额7.49%。该集中度数据为2025年度年报披露口径，供应商以匿名形式披露，无法识别具体供应商；从公开数据看不存在对单一供应商严重依赖的迹象。</w:t>
      </w:r>
    </w:p>
    <w:p>
      <w:pPr>
        <w:pStyle w:val="ListParagraph"/>
        <w:numPr>
          <w:ilvl w:val="0"/>
          <w:numId w:val="2"/>
        </w:numPr>
        <w:spacing w:after="80" w:line="280"/>
      </w:pPr>
      <w:r>
        <w:rPr>
          <w:sz w:val="22"/>
          <w:szCs w:val="22"/>
        </w:rPr>
        <w:t xml:space="preserve">12英寸产线建设期和爬坡期的折旧及设备利用率不足可能放大单位制造成本，短期内可能抵消材料采购成本控制效果。</w:t>
      </w:r>
    </w:p>
    <w:p>
      <w:pPr>
        <w:pStyle w:val="ListParagraph"/>
        <w:numPr>
          <w:ilvl w:val="0"/>
          <w:numId w:val="2"/>
        </w:numPr>
        <w:spacing w:after="80" w:line="280"/>
      </w:pPr>
      <w:r>
        <w:rPr>
          <w:sz w:val="22"/>
          <w:szCs w:val="22"/>
        </w:rPr>
        <w:t xml:space="preserve">下游客户包括国内外半导体设计公司，以及汽车电子、工业控制、光伏储能、通信、消费电子、家电、电源、充电桩、UPS和变频器厂商、半导体产品经销商、部分大型终端客户和系统方案客户。</w:t>
      </w:r>
    </w:p>
    <w:p>
      <w:pPr>
        <w:pStyle w:val="ListParagraph"/>
        <w:numPr>
          <w:ilvl w:val="0"/>
          <w:numId w:val="2"/>
        </w:numPr>
        <w:spacing w:after="80" w:line="280"/>
      </w:pPr>
      <w:r>
        <w:rPr>
          <w:sz w:val="22"/>
          <w:szCs w:val="22"/>
        </w:rPr>
        <w:t xml:space="preserve">制造与服务业务以直销为主，客户通常通过框架合同及订单计划下单；产品与方案业务同时采用直销和经销模式。2025年直销收入67.29亿元，毛利率31.55%；经销收入40.91亿元，毛利率18.21%。经销渠道有利于扩大市场覆盖和提高出货效率，但对终端价格管理和渠道利润存在一定让渡。</w:t>
      </w:r>
    </w:p>
    <w:p>
      <w:pPr>
        <w:pStyle w:val="ListParagraph"/>
        <w:numPr>
          <w:ilvl w:val="0"/>
          <w:numId w:val="2"/>
        </w:numPr>
        <w:spacing w:after="80" w:line="280"/>
      </w:pPr>
      <w:r>
        <w:rPr>
          <w:sz w:val="22"/>
          <w:szCs w:val="22"/>
        </w:rPr>
        <w:t xml:space="preserve">2025年前五大客户销售额15.90亿元，占年度销售总额14.69%；最大单一客户占比4.29%，前五大客户均为非关联客户。该数据为2025年度年报口径，客户以客户A至客户E匿名披露，无法交叉识别具体终端客户类型及汽车、家电、通信等行业分布。</w:t>
      </w:r>
    </w:p>
    <w:p>
      <w:pPr>
        <w:pStyle w:val="ListParagraph"/>
        <w:numPr>
          <w:ilvl w:val="0"/>
          <w:numId w:val="2"/>
        </w:numPr>
        <w:spacing w:after="80" w:line="280"/>
      </w:pPr>
      <w:r>
        <w:rPr>
          <w:sz w:val="22"/>
          <w:szCs w:val="22"/>
        </w:rPr>
        <w:t xml:space="preserve">客户集中度总体较低，公开信息未显示公司对单一客户存在严重依赖。半导体行业客户认证周期长、产品质量要求高，制造服务具有较强合同化特征；产品与方案业务同时面临终端客户价格竞争、经销渠道利润让渡及不同应用市场的价格压力。</w:t>
      </w:r>
    </w:p>
    <w:p>
      <w:pPr>
        <w:pStyle w:val="ListParagraph"/>
        <w:numPr>
          <w:ilvl w:val="0"/>
          <w:numId w:val="2"/>
        </w:numPr>
        <w:spacing w:after="80" w:line="280"/>
      </w:pPr>
      <w:r>
        <w:rPr>
          <w:sz w:val="22"/>
          <w:szCs w:val="22"/>
        </w:rPr>
        <w:t xml:space="preserve">2025年产品与方案收入60.28亿元，同比增长16.98%，毛利率22.17%；制造与服务收入47.93亿元，同比增长2.24%，毛利率31.97%，当期增长主要来自自有产品放量，而非单纯依靠晶圆代工产能扩张。</w:t>
      </w:r>
    </w:p>
    <w:p>
      <w:pPr>
        <w:pStyle w:val="ListParagraph"/>
        <w:numPr>
          <w:ilvl w:val="0"/>
          <w:numId w:val="2"/>
        </w:numPr>
        <w:spacing w:after="80" w:line="280"/>
      </w:pPr>
      <w:r>
        <w:rPr>
          <w:sz w:val="22"/>
          <w:szCs w:val="22"/>
        </w:rPr>
        <w:t xml:space="preserve">产品与方案下游应用比例包括泛新能源约44%、消费电子约34%、工业设备约12%、通信设备约10%；该结构数据来自同花顺对公司年报数据的整理，研究纪要未找到完整公司原始表格，具体以公司正式年报分项披露为准。</w:t>
      </w:r>
    </w:p>
    <w:p>
      <w:pPr>
        <w:pStyle w:val="ListParagraph"/>
        <w:numPr>
          <w:ilvl w:val="0"/>
          <w:numId w:val="2"/>
        </w:numPr>
        <w:spacing w:after="80" w:line="280"/>
      </w:pPr>
      <w:r>
        <w:rPr>
          <w:sz w:val="22"/>
          <w:szCs w:val="22"/>
        </w:rPr>
        <w:t xml:space="preserve">截至2025年，公开财务数据整理显示应收账款周转天数约53.71天、存货周转天数约96.79天。应收账款周转天数数据来自第三方财务数据页面，建议后续以2025年年报资产负债表和应收账款附注重新计算。存货周转天数高于应收账款周转天数，且2025年晶圆制造库存量同比增长24.76%，表明库存、在产品及产线备货对营运资金的占用更值得关注；营运资金压力更多来自库存和重资产折旧，而不完全来自客户拖欠货款。</w:t>
      </w:r>
    </w:p>
    <w:p>
      <w:pPr>
        <w:pStyle w:val="ListParagraph"/>
        <w:numPr>
          <w:ilvl w:val="0"/>
          <w:numId w:val="2"/>
        </w:numPr>
        <w:spacing w:after="80" w:line="280"/>
      </w:pPr>
      <w:r>
        <w:rPr>
          <w:sz w:val="22"/>
          <w:szCs w:val="22"/>
        </w:rPr>
        <w:t xml:space="preserve">供应商方面，2025年前五大供应商采购额占年度采购总额16.52%，关联方采购占7.49%；客户方面，2025年前五大客户销售额占年度销售总额14.69%，最大单一客户占比4.29%。上述客户和供应商集中度均为2025年度数据，且具体对象匿名披露，无法识别具体企业及终端行业，不能据此进行更细的客户结构判断。</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主营业务毛利率35.40%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归母净利率约24.41%</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半导体景气度较高，晶圆及器件需求旺盛，产线利用率较高，产品价格和产品结构改善。</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主营业务毛利率36.87%</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归母净利率约26.02%</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公司继续向工控、新能源光伏、通信和汽车电子等中高端领域拓展，产能利用率较高，制造与服务毛利率升至37.61%。</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主营业务毛利率约32.22%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归母净利率约14.94%</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行业需求回落、去库存和价格竞争加剧，产品与方案毛利率降至26.62%；12英寸产线建设带来资本开支、折旧和投资压力。该毛利率数据由公司年报及公开研究资料交叉核对。</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主营业务毛利率27.49%</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归母净利率约7.54%</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行业产能释放、下游去库存和产品价格竞争延续，产品与方案毛利率为21.26%；重资产项目仍处于爬坡和建设阶段，折旧压力较大。</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主营业务毛利率26.51%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归母净利率约5.98%</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产品与方案受AI服务器、汽车电子、泛新能源及部分新兴应用带动，毛利率改善至22.17%；制造与服务毛利率降至31.97%，仍受12英寸产线爬坡、折旧和原材料成本上升影响。</w:t>
            </w:r>
          </w:p>
        </w:tc>
      </w:tr>
    </w:tbl>
    <w:p>
      <w:pPr>
        <w:spacing w:before="200"/>
      </w:pPr>
    </w:p>
    <w:p>
      <w:pPr>
        <w:spacing w:after="160" w:line="300"/>
      </w:pPr>
      <w:r>
        <w:rPr>
          <w:sz w:val="22"/>
          <w:szCs w:val="22"/>
        </w:rPr>
        <w:t xml:space="preserve">公司位于产业链中游的IDM平台，并延伸至下游功率器件和产品方案，整体属于中游制造与产品结合型企业，而非典型上游资源或下游品牌高毛利位置。进一步改善利润率主要取决于汽车电子、光伏储能、工业控制、AI服务器电源及SiC/GaN等高附加值产品放量，产品结构升级，以及6英寸、8英寸和12英寸产线利用率、良率提升和折旧摊薄；硅片、化学品、封装材料、设备折旧及制造费用控制同样重要。</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61.2847亿元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同比增长17.44%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归母净利润7.2240亿元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同比增长113.23%</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2026年第一季度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28.57亿元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同比增长21.34%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归母净利润3.30亿元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同比增长296.56%</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2026年第二季度（推算）</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约32.70亿元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未披露，无法确定</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归母净利润约3.93亿元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未披露，无法确定</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110.54亿元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同比增长9.24%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归母净利润6.61亿元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同比下降13.37%</w:t>
            </w:r>
          </w:p>
        </w:tc>
      </w:tr>
    </w:tbl>
    <w:p>
      <w:pPr>
        <w:spacing w:after="200"/>
      </w:pPr>
      <w:r>
        <w:rPr>
          <w:i/>
          <w:iCs/>
          <w:color w:val="595959"/>
          <w:sz w:val="18"/>
          <w:szCs w:val="18"/>
        </w:rPr>
        <w:t xml:space="preserve">2026年上半年财报为截至2026年6月30日的半年度报告，报告于2026年8月披露，财务报表未经审计，采用合并报表口径。2026年第二季度数据为半年度数据减去第一季度数据后的推算值，并非公司单独披露的季度审计数据。2026年上半年扣非归母净利润为4.1428亿元，同比增长51.48%；2025年扣非归母净利润为4.71亿元，同比下降26.81%。</w:t>
      </w:r>
    </w:p>
    <w:p>
      <w:pPr>
        <w:spacing w:after="160" w:line="300"/>
      </w:pPr>
      <w:r>
        <w:rPr>
          <w:sz w:val="22"/>
          <w:szCs w:val="22"/>
        </w:rPr>
        <w:t xml:space="preserve">2026年上半年收入和利润较2025年明显改善，扣非归母净利润增速高于收入增速，主营业务盈利能力有所改善。但上半年归母净利润与扣非归母净利润相差约3.08亿元，且2026年一季度包含约1.85亿元金融资产公允价值变动收益，表观利润高增长不能完全等同于主营盈利能力增长。2026年上半年经营活动现金流净额为13.9121亿元，同比增长95.13%；加权平均ROE为3.1055%，同比增加1.6028个百分点；研发投入占营业收入比例为8.57%，上年同期为10.50%。截至2026年6月30日，公司总资产311.99亿元，归属于上市公司股东的净资产234.75亿元，较2025年末分别增长1.99%和2.15%。</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截至2026年9月11日，同花顺F10汇总显示近六个月共有7家机构对华润微2026年业绩进行预测。研究纪要明确列出华创证券、华鑫证券、国信证券、华源证券和华泰证券5家机构的预测明细，另有2家机构明细未列出。上述数据为机构预测，不是公司已披露的实际财务数据。</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机构平均预测129.72亿元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机构平均预测归母净利润11.76亿元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未提供机构平均预测增速；预测区间为9.70亿—15.95亿元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机构平均预测0.89元；区间0.73—1.20元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机构平均预测154.45亿元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机构平均预测归母净利润15.65亿元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未提供机构平均预测增速；预测区间为11.85亿—20.37亿元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机构平均预测1.18元；区间0.89—1.53元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机构平均预测183.16亿元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机构平均预测归母净利润19.65亿元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未提供机构平均预测增速；预测区间为14.86亿—26.55亿元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机构平均预测1.48元；区间1.12—2.00元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2026年4月27日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目标价81.02元；2026—2028年归母净利润预测为12.50亿、18.43亿、25.92亿元。目标价采用2026年预测PB估值，报告提及2026年BPS约19.76元，对应4.1倍PB。</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华源证券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2026年4月29日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2026—2028年归母净利润预测为9.70亿、11.85亿、14.86亿元，EPS预测为0.73元、0.89元、1.12元，对应PE约73.94倍、60.54倍、48.27倍。</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华鑫证券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2026年6月21日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2026—2028年收入预测为127.45亿、147.46亿、175.64亿元，EPS预测为0.84元、1.16元、1.41元，对应PE约87.8倍、63.6倍、52.1倍。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同花顺iFinD近六个月机构汇总</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1家买入、1家增持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近六个月统计到2家机构发布评级信息，2026年目标价平均值为81.02元，2026年归母净利润预测均值为11.28亿元，预测区间为10.06亿—12.50亿元。该口径不同于汇总7家机构盈利预测的页面。</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Investing.com分析师共识</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中性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未明确披露</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覆盖分析师共识为中性，6位分析师的12个月平均目标价为63.82元，最高81.30元，最低45.00元；评级构成为3个买入、3个持有、1个卖出。该平台统计口径与国内卖方研报样本不完全一致。</w:t>
            </w:r>
          </w:p>
        </w:tc>
      </w:tr>
    </w:tbl>
    <w:p>
      <w:pPr>
        <w:spacing w:before="200"/>
      </w:pPr>
    </w:p>
    <w:p>
      <w:pPr>
        <w:spacing w:after="160" w:line="300"/>
      </w:pPr>
      <w:r>
        <w:rPr>
          <w:sz w:val="22"/>
          <w:szCs w:val="22"/>
        </w:rPr>
        <w:t xml:space="preserve">截至2026年9月10日收盘，华润微收盘价为56.28元，总市值约747.52亿元，PE-TTM为71.59倍，PB为3.18倍，股息率约0.19%。PE历史分位约50.83%，PE历史中位数约71.24倍，历史20%分位约42.54倍，历史80%分位约86.66倍，当前PE-TTM接近历史中位数，处于历史估值中枢附近，未达到历史极高估值区间。基于收盘价56.28元和机构平均EPS预测，2026—2028年动态PE约为63.2倍、47.7倍和38.0倍。机构目标价存在口径差异：同花顺近六个月评级页面目标价平均值为81.02元，Investing.com分析师共识平均目标价为63.82元，最高81.30元、最低45.00元。当前估值不低，且远期估值依赖未来利润持续增长；由于2025年利润基数较低、2026年上半年存在较明显非经常性收益，PE-TTM可能受到盈利低基数和利润结构变化影响，单纯使用静态PE判断估值存在局限。机构对盈利预测分歧较大，2026年归母净利润预测区间为9.70亿—15.95亿元，2028年为14.86亿—26.55亿元，差异涉及行业复苏幅度、产品涨价持续性、深圳润鹏12英寸产线爬坡、AI服务器电源业务放量以及非经常性收益持续性等因素。</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2026年半年度报告：收入及利润大幅增长</w:t>
      </w:r>
    </w:p>
    <w:p>
      <w:pPr>
        <w:spacing w:after="160" w:line="300"/>
      </w:pPr>
      <w:r>
        <w:rPr>
          <w:sz w:val="22"/>
          <w:szCs w:val="22"/>
        </w:rPr>
        <w:t xml:space="preserve">华润微于2026年8月25日披露2026年半年度报告。2026年上半年营业收入为61.28亿元，同比增长17.44%；归属于上市公司股东的净利润为7.224亿元，同比增长113.23%；扣除非经常性损益后归属于上市公司股东的净利润为4.143亿元，同比增长51.48%；经营活动产生的现金流量净额为13.91亿元，同比增长95.13%；基本每股收益为0.5440元，上年同期为0.2556元。公司称，业绩增长主要与半导体市场景气度回升、订单充足、整体产能利用率接近满载，以及根据成本变化和市场竞争情况调整产品价格有关。上述数据为公司正式披露的未经审计半年度报告数据，并非业绩预告或券商预测。</w:t>
      </w:r>
    </w:p>
    <w:p>
      <w:pPr>
        <w:pStyle w:val="Heading2"/>
        <w:spacing w:after="120" w:before="240"/>
      </w:pPr>
      <w:r>
        <w:rPr>
          <w:b/>
          <w:bCs/>
          <w:color w:val="2E74B5"/>
          <w:sz w:val="24"/>
          <w:szCs w:val="24"/>
        </w:rPr>
        <w:t xml:space="preserve">4.2 公司未另行发布2026年半年度业绩预告或业绩快报</w:t>
      </w:r>
    </w:p>
    <w:p>
      <w:pPr>
        <w:spacing w:after="160" w:line="300"/>
      </w:pPr>
      <w:r>
        <w:rPr>
          <w:sz w:val="22"/>
          <w:szCs w:val="22"/>
        </w:rPr>
        <w:t xml:space="preserve">2026年8月7日投资者互动平台有投资者询问半年度业绩预告事项，公司回复称半年度业绩预告属于自愿信息披露事项，并提示关注2026年8月25日披露的半年度报告。截至2026年9月13日，未发现公司另行发布2026年半年度业绩预告或业绩快报。</w:t>
      </w:r>
    </w:p>
    <w:p>
      <w:pPr>
        <w:pStyle w:val="Heading2"/>
        <w:spacing w:after="120" w:before="240"/>
      </w:pPr>
      <w:r>
        <w:rPr>
          <w:b/>
          <w:bCs/>
          <w:color w:val="2E74B5"/>
          <w:sz w:val="24"/>
          <w:szCs w:val="24"/>
        </w:rPr>
        <w:t xml:space="preserve">4.3 2026年半年度利润分配预案</w:t>
      </w:r>
    </w:p>
    <w:p>
      <w:pPr>
        <w:spacing w:after="160" w:line="300"/>
      </w:pPr>
      <w:r>
        <w:rPr>
          <w:sz w:val="22"/>
          <w:szCs w:val="22"/>
        </w:rPr>
        <w:t xml:space="preserve">公司于2026年8月25日披露半年度利润分配预案，拟以实施权益分派股权登记日的总股本为基数，每10股派发现金红利0.56元（含税），预计派发现金红利总额为7,437.98万元，占2026年上半年归属于上市公司股东净利润的10.30%。本次预案不进行资本公积金转增股本，也不送红股。截至2026年9月13日，具体股权登记日、除权除息日和实际派发安排尚需关注后续权益分派实施公告。</w:t>
      </w:r>
    </w:p>
    <w:p>
      <w:pPr>
        <w:pStyle w:val="Heading2"/>
        <w:spacing w:after="120" w:before="240"/>
      </w:pPr>
      <w:r>
        <w:rPr>
          <w:b/>
          <w:bCs/>
          <w:color w:val="2E74B5"/>
          <w:sz w:val="24"/>
          <w:szCs w:val="24"/>
        </w:rPr>
        <w:t xml:space="preserve">4.4 独立董事李悦辞职，后续需关注补选进展</w:t>
      </w:r>
    </w:p>
    <w:p>
      <w:pPr>
        <w:spacing w:after="160" w:line="300"/>
      </w:pPr>
      <w:r>
        <w:rPr>
          <w:sz w:val="22"/>
          <w:szCs w:val="22"/>
        </w:rPr>
        <w:t xml:space="preserve">公司于2026年8月25日披露《关于公司独立董事辞职的公告》，公告编号为2026-024。独立董事李悦因个人原因申请辞去独立董事职务，并同时辞去董事会审计合规委员会主任委员、战略与可持续发展委员会委员、薪酬与考核委员会委员职务。李悦辞职后不再担任公司任何职务，原定任期至2028年5月22日；其未持有公司股份，也不存在未履行完毕的公开承诺。由于辞职后公司独立董事人数占董事会成员比例将低于三分之一，辞职将在股东会选举产生新任独立董事后生效。在此之前，李悦仍继续履行相关职责。公司称本次辞职不会导致董事会成员人数低于法定人数，不会影响董事会正常运作及日常生产经营。</w:t>
      </w:r>
    </w:p>
    <w:p>
      <w:pPr>
        <w:pStyle w:val="Heading2"/>
        <w:spacing w:after="120" w:before="240"/>
      </w:pPr>
      <w:r>
        <w:rPr>
          <w:b/>
          <w:bCs/>
          <w:color w:val="2E74B5"/>
          <w:sz w:val="24"/>
          <w:szCs w:val="24"/>
        </w:rPr>
        <w:t xml:space="preserve">4.5 投资者关系活动披露碳化硅产能及外延布局计划</w:t>
      </w:r>
    </w:p>
    <w:p>
      <w:pPr>
        <w:spacing w:after="160" w:line="300"/>
      </w:pPr>
      <w:r>
        <w:rPr>
          <w:sz w:val="22"/>
          <w:szCs w:val="22"/>
        </w:rPr>
        <w:t xml:space="preserve">公司于2026年9月3日披露《2026年8月投资者关系活动记录表》，披露2026年8月25日至8月28日在无锡、深圳、上海接待机构调研的情况。公司判断半导体行业景气度有望进入上行长周期，AI、自动驾驶、具身智能、智能终端和算力基础设施等应用将带动功率、模拟及数模混合半导体需求。公司碳化硅业务2026年上半年营收同比实现翻番以上增长，其中汽车和储能终端收入占比合计约85%。由于自身碳化硅产能有限，公司正积极寻求外协产能，并计划通过投资并购、参股等方式锁定碳化硅产能，形成“自建产能+外延合作”的扩产模式。</w:t>
      </w:r>
    </w:p>
    <w:p>
      <w:pPr>
        <w:pStyle w:val="Heading2"/>
        <w:spacing w:after="120" w:before="240"/>
      </w:pPr>
      <w:r>
        <w:rPr>
          <w:b/>
          <w:bCs/>
          <w:color w:val="2E74B5"/>
          <w:sz w:val="24"/>
          <w:szCs w:val="24"/>
        </w:rPr>
        <w:t xml:space="preserve">4.6 AI服务器及数据中心电源产品实现上量</w:t>
      </w:r>
    </w:p>
    <w:p>
      <w:pPr>
        <w:spacing w:after="160" w:line="300"/>
      </w:pPr>
      <w:r>
        <w:rPr>
          <w:sz w:val="22"/>
          <w:szCs w:val="22"/>
        </w:rPr>
        <w:t xml:space="preserve">在投资者关系活动中，公司表示已形成从一级供电、二级IBC到三级板级电源的AI服务器和数据中心电源产品布局，硅基及第三代半导体产品已经实现上量，并导入主流电源厂商及云端客户。</w:t>
      </w:r>
    </w:p>
    <w:p>
      <w:pPr>
        <w:pStyle w:val="Heading2"/>
        <w:spacing w:after="120" w:before="240"/>
      </w:pPr>
      <w:r>
        <w:rPr>
          <w:b/>
          <w:bCs/>
          <w:color w:val="2E74B5"/>
          <w:sz w:val="24"/>
          <w:szCs w:val="24"/>
        </w:rPr>
        <w:t xml:space="preserve">4.7 碳化硅并购尚未形成具体交易</w:t>
      </w:r>
    </w:p>
    <w:p>
      <w:pPr>
        <w:spacing w:after="160" w:line="300"/>
      </w:pPr>
      <w:r>
        <w:rPr>
          <w:sz w:val="22"/>
          <w:szCs w:val="22"/>
        </w:rPr>
        <w:t xml:space="preserve">截至2026年9月13日，未检索到公司已公告具体碳化硅并购标的、交易金额、交易对手或正式收购方案。因此，公司在投资者交流中提到的通过投资并购、参股扩充产能，目前属于战略方向和管理层表态，不能视为已经落地的并购交易。</w:t>
      </w:r>
    </w:p>
    <w:p>
      <w:pPr>
        <w:pStyle w:val="Heading2"/>
        <w:spacing w:after="120" w:before="240"/>
      </w:pPr>
      <w:r>
        <w:rPr>
          <w:b/>
          <w:bCs/>
          <w:color w:val="2E74B5"/>
          <w:sz w:val="24"/>
          <w:szCs w:val="24"/>
        </w:rPr>
        <w:t xml:space="preserve">4.8 产业基金投资事项后续无明显变化</w:t>
      </w:r>
    </w:p>
    <w:p>
      <w:pPr>
        <w:spacing w:after="160" w:line="300"/>
      </w:pPr>
      <w:r>
        <w:rPr>
          <w:sz w:val="22"/>
          <w:szCs w:val="22"/>
        </w:rPr>
        <w:t xml:space="preserve">2026年5月28日，公司披露拟与关联方共同投资设立润科（重庆）股权投资基金合伙企业（有限合伙），投资方向包括半导体核心设备、核心零部件、关键耗材及高端芯片设计等领域。公司通过润科创新投资和全资子公司华微控股合计认缴出资1.9389亿元，占基金总认缴出资额的16.1575%，资金来源为公司自有资金；该事项构成关联交易，但不构成重大资产重组。2026年半年度报告披露该事项后续“无进展或变化”。截至2026年9月13日，不能据此推断公司已完成具体并购。</w:t>
      </w:r>
    </w:p>
    <w:p>
      <w:pPr>
        <w:pStyle w:val="Heading2"/>
        <w:spacing w:after="120" w:before="240"/>
      </w:pPr>
      <w:r>
        <w:rPr>
          <w:b/>
          <w:bCs/>
          <w:color w:val="2E74B5"/>
          <w:sz w:val="24"/>
          <w:szCs w:val="24"/>
        </w:rPr>
        <w:t xml:space="preserve">4.9 股东持股及增减持情况</w:t>
      </w:r>
    </w:p>
    <w:p>
      <w:pPr>
        <w:spacing w:after="160" w:line="300"/>
      </w:pPr>
      <w:r>
        <w:rPr>
          <w:sz w:val="22"/>
          <w:szCs w:val="22"/>
        </w:rPr>
        <w:t xml:space="preserve">根据2026年半年度报告，截至2026年6月30日，公司普通股股东总数为74,736户。华润集团（微电子）有限公司持股878,982,146股，持股比例66.18%，报告期内持股数量未发生变化；香港中央结算有限公司持股21,732,251股，报告期内增加1,630,271股；国家集成电路产业投资基金股份有限公司持股9,924,630股，报告期内减少3,308,209股；华夏上证科创板50成份ETF持股9,749,899股，报告期内减少10,979,776股；王开斌持股9,505,483股，报告期内减少11,621,006股。上述为截至2026年6月30日的半年报数据，不代表2026年9月的最新持股状态。2026年7月至9月期间，未发现华润集团（微电子）有限公司、实际控制人或其他重要股东发布新的增持、减持或股份质押公告。</w:t>
      </w:r>
    </w:p>
    <w:p>
      <w:pPr>
        <w:pStyle w:val="Heading2"/>
        <w:spacing w:after="120" w:before="240"/>
      </w:pPr>
      <w:r>
        <w:rPr>
          <w:b/>
          <w:bCs/>
          <w:color w:val="2E74B5"/>
          <w:sz w:val="24"/>
          <w:szCs w:val="24"/>
        </w:rPr>
        <w:t xml:space="preserve">4.10 未发现新增股份回购计划或进展公告</w:t>
      </w:r>
    </w:p>
    <w:p>
      <w:pPr>
        <w:spacing w:after="160" w:line="300"/>
      </w:pPr>
      <w:r>
        <w:rPr>
          <w:sz w:val="22"/>
          <w:szCs w:val="22"/>
        </w:rPr>
        <w:t xml:space="preserve">截至2026年9月13日，未检索到华润微在2026年8月至9月发布新的股份回购计划、回购进展公告或回购注销公告。半年度报告披露的2021年第二类限制性股票激励计划预留部分第二个归属期股份登记情况中，相关股份已于2026年3月23日上市流通，共681,282股，该事项属于股权激励归属，不是上市公司用于维护股价的股份回购。</w:t>
      </w:r>
    </w:p>
    <w:p>
      <w:pPr>
        <w:pStyle w:val="Heading2"/>
        <w:spacing w:after="120" w:before="240"/>
      </w:pPr>
      <w:r>
        <w:rPr>
          <w:b/>
          <w:bCs/>
          <w:color w:val="2E74B5"/>
          <w:sz w:val="24"/>
          <w:szCs w:val="24"/>
        </w:rPr>
        <w:t xml:space="preserve">4.11 截至检索日未发现重大监管处罚或问询事项</w:t>
      </w:r>
    </w:p>
    <w:p>
      <w:pPr>
        <w:spacing w:after="160" w:line="300"/>
      </w:pPr>
      <w:r>
        <w:rPr>
          <w:sz w:val="22"/>
          <w:szCs w:val="22"/>
        </w:rPr>
        <w:t xml:space="preserve">截至2026年9月13日，基于公司公告列表、上交所相关公开检索页面及近期公告检索，未发现华润微在2026年8月至9月收到上海证券交易所监管工作函、问询函、纪律处分、证监会立案或行政处罚等重大监管事项。由于上交所监管问询页面属于动态检索页面，搜索结果可能存在更新延迟，该结论仅表示截至本次检索未发现公开披露的相关事项。</w:t>
      </w:r>
    </w:p>
    <w:p>
      <w:pPr>
        <w:pStyle w:val="Heading2"/>
        <w:spacing w:after="120" w:before="240"/>
      </w:pPr>
      <w:r>
        <w:rPr>
          <w:b/>
          <w:bCs/>
          <w:color w:val="2E74B5"/>
          <w:sz w:val="24"/>
          <w:szCs w:val="24"/>
        </w:rPr>
        <w:t xml:space="preserve">4.12 参加集成电路创新发展大会及集团调研</w:t>
      </w:r>
    </w:p>
    <w:p>
      <w:pPr>
        <w:spacing w:after="160" w:line="300"/>
      </w:pPr>
      <w:r>
        <w:rPr>
          <w:sz w:val="22"/>
          <w:szCs w:val="22"/>
        </w:rPr>
        <w:t xml:space="preserve">2026年9月2日，公司官网披露其参加2026年集成电路（无锡）创新发展大会，主题涉及半导体设备、材料、核心零部件及产业协同。2026年8月11日，华润集团董事长王海民赴华润微电子调研，参观润鹏半导体展厅及12英寸特色模拟集成电路生产线，并与管理团队座谈。上述事项属于产业活动和公司新闻，未披露新的投资金额、并购方案或产能承诺。</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股票代码及简称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688396，华润微；上海证券交易所科创板</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55.99元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日涨跌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下跌0.29元，跌幅0.52%</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55.50元 / 55.99元 / 53.97元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约1,364.31万股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约7.51亿元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约1.03%</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约744—748亿元；不同平台显示约743.7亿—747.5亿元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52周高点/低点</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约101.99元 / 约43.68—43.71元；低点数值因平台复权及数据更新口径略有差异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近期走势</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股价自2026年7月1日盘中高点101.99元冲高回落，近20个交易日收盘价由约65.01元回落至55.99元，处于高位回撤后的弱势整理阶段</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估值参考</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动态市盈率约50—52倍；市盈率TTM约70.9—71.9倍。不同数据源在更新时间、总股本及盈利口径方面存在差异</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移动平均线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按Investing技术快照：MA5约54.95元、MA10约55.65元、MA20约56.20元、MA50约57.34元、MA100约59.24元、MA200约59.01元；按最近20个交易日收盘价自行计算：MA5约56.61元、MA10约57.36元、MA20约59.32元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两组数据存在口径不一致。本次以历史收盘价自行计算结果为主，55.99元收盘价低于MA5、MA10和MA20，短期均线系统偏空；MA20约59.3元为重要中短期压力或趋势修复位置。Investing日线移动平均线综合信号为“强力卖出”，显示0个买入信号、12个卖出信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约-0.65；技术信号为卖出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MACD处于负值区间，短线动能偏弱。DIF、DEA具体数值未获得一致交叉验证，不作精确引用。</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ADX(14)及ROC</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ADX约31.01，ROC约-2.41；平台均判断为卖出信号</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相关技术快照反映趋势及动能偏弱，但具体指标受平台计算口径影响。</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约42.34；基于最近6个价格变动自行估算RSI6约36</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RSI14处于弱势区间但尚未达到通常意义上的极端超卖水平；RSI6低于50，显示短线买方动能偏弱。RSI6为估算值，另一个平台显示的约28.49未作为主要结论。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基于最近20个交易日收盘价自行计算：中轨约59.32元、上轨约64.71元、下轨约53.94元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55.99元位于中轨下方、下轨上方，处于布林带下半区。9月11日盘中最低53.97元，基本触及估算下轨，53.9—54.0元附近存在短线技术承接；计算结果可能因复权、样本区间及标准差算法不同而变化。</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资金流向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截至2026年9月10日，近5日大单及超大单净额约-2.18亿元，近10日约-4.62亿元；近10日小单净流入约1.33亿元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大单净额连续为负、小单存在一定承接，资金面偏弱。相关平台数据基于公开日线、成交额和换手率推断，不等同于真实账户层面的主力资金或交易所官方资金流数据。</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成交与换手变化</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最近5个交易日成交额约4.4—8.7亿元，换手率约0.6%—1.3%；8月19日至8月27日期间换手率约1.5%—2.7%</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9月初以来交投活跃度较前期明显下降，当前回撤尚未表现为极端恐慌式放量下跌。</w:t>
            </w:r>
          </w:p>
        </w:tc>
      </w:tr>
    </w:tbl>
    <w:p>
      <w:pPr>
        <w:spacing w:before="200"/>
      </w:pPr>
    </w:p>
    <w:p>
      <w:pPr>
        <w:spacing w:after="160" w:line="300"/>
      </w:pPr>
      <w:r>
        <w:rPr>
          <w:sz w:val="22"/>
          <w:szCs w:val="22"/>
        </w:rPr>
        <w:t xml:space="preserve">截至2026年9月11日，华润微股价较2026年7月1日约101.99元的阶段高点明显回落，55.99元较52周高点低约45%，但仍较52周低点约43.7元高约28%。按最近20个交易日收盘价计算，股价低于MA5、MA10和MA20，MACD处于负值区间，RSI14约42.34，短线技术形态偏弱。股价已接近布林下轨，9月11日盘中最低53.97元与估算下轨约53.94元接近，53.8—54.3元为当前重要支撑观察区。资金面方面，近5日及近10日大单、超大单净额均为负，成交和换手较8月下旬降温，短线仍需观察支撑有效性及量能能否改善。</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风险提示：以下内容仅为基于截至2026年9月11日收盘数据、历史价格和技术指标的主观情景推演，不构成投资建议，也不构成对未来实际涨跌的保证。</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57.8—59.1元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依据包括按历史收盘价自行计算的MA10约57.36元上方区域、MA20附近约59.3元、9月4日盘中高点59.10元及9月7日高点58.72元。若有效收复并站稳59.1元，技术上可能打开向60—61元区域修复的空间，但不代表必然走势。</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55.4—56.0元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依据包括9月10日最低55.43元、9月9日最低55.99元及当前收盘价附近。若该区间获得承接，股价可能维持弱势震荡；有效失守则需关注更下方强支撑。</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53.8—54.3元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依据包括自行计算的布林下轨约53.94元及9月11日盘中低点53.97元。若收盘有效跌破该区间，技术上可能打开向52—53元甚至更低价格区间寻找支撑的空间，该判断属于技术推演。</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五成左右；为基于当前技术形态、成交和资金流向的主观启发式权重，不是统计概率或模型回测结果）：参考价格带为54.5—58.5元。触发条件是股价在53.8—54.3元附近获得承接，未出现连续放量下跌，且半导体板块和科创板指数维持震荡、成交额处于近期正常水平。若53.9元附近支撑有效，股价可能围绕55—57元反复震荡，反弹首先面对57.8—59.1元压力。</w:t>
      </w:r>
    </w:p>
    <w:p>
      <w:pPr>
        <w:pStyle w:val="ListParagraph"/>
        <w:numPr>
          <w:ilvl w:val="0"/>
          <w:numId w:val="2"/>
        </w:numPr>
        <w:spacing w:after="80" w:line="280"/>
      </w:pPr>
      <w:r>
        <w:rPr>
          <w:sz w:val="22"/>
          <w:szCs w:val="22"/>
        </w:rPr>
        <w:t xml:space="preserve">偏弱下行（权重中等，约三成左右；为主观启发式权重，不是统计概率或模型回测结果）：参考价格带为52.8—55.5元。触发条件是收盘有效跌破53.8—54.3元强支撑区，并伴随单日成交额明显高于近期正常水平，或半导体板块继续走弱、市场风险偏好进一步下降。技术上可能向52—53元区间寻找下一支撑；若跌破时成交量未放大，也可能是假跌破，需结合后续1—2个交易日确认。</w:t>
      </w:r>
    </w:p>
    <w:p>
      <w:pPr>
        <w:pStyle w:val="ListParagraph"/>
        <w:numPr>
          <w:ilvl w:val="0"/>
          <w:numId w:val="2"/>
        </w:numPr>
        <w:spacing w:after="80" w:line="280"/>
      </w:pPr>
      <w:r>
        <w:rPr>
          <w:sz w:val="22"/>
          <w:szCs w:val="22"/>
        </w:rPr>
        <w:t xml:space="preserve">反弹走强（权重偏低，约两成左右；为主观启发式权重，不是统计概率或模型回测结果）：参考价格带为58.5—61.0元。触发条件是股价重新站上57.8—59.1元压力区，并出现成交额持续放大；若单日成交额稳定达到约10亿元或更高，同时收盘价站稳59.1元，可作为短线反弹获得量能确认的观察信号。若收复MA10、MA20附近压力，MACD负值动能可能收敛，价格存在向60—61元区域修复的技术空间；但目前大单资金近5日、近10日均为净流出，MACD及中期均线仍偏弱。</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最近5个交易日成交额约4.4—8.7亿元，换手率约0.6%—1.3%；9月11日成交额约7.51亿元、换手率约1.03%。对于总市值约744—748亿元的股票而言，当前属于有一定流动性但并不特别活跃的水平，价格仍可能对板块情绪和大单交易较敏感。股东资料截至2026年6月30日：股东总数74,736户，较2026年3月31日增加33.61%；前十大股东合计持股约9.59亿股，占总股本或流通股约72.24%，控股股东华润集团（微电子）有限公司持股66.18%。前十大股东中还包括香港中央结算有限公司、国家集成电路产业投资基金及多只科创板或芯片ETF；同花顺数据显示，933家机构合计持有约10.39亿股，占流通股约78.21%，其中基金约占8.75%。因此筹码名义集中度较高，但股东总数增加也显示参与者数量上升、筹码可能有所分散。上述股东结构距2026年9月11日收盘日已有约两个多月，期间持仓可能发生变化，不能直接等同于当前实时筹码状态。</w:t>
      </w:r>
    </w:p>
    <w:p>
      <w:pPr>
        <w:spacing w:after="160" w:line="300"/>
      </w:pPr>
      <w:r>
        <w:rPr>
          <w:sz w:val="22"/>
          <w:szCs w:val="22"/>
        </w:rPr>
        <w:t xml:space="preserve">若单日成交额持续放大至约10亿元或以上，并与收盘价重新站稳59.1元同步，可作为短线资金重新介入及反弹量能获得确认的可检查信号；该阈值基于近期约4.4—8.7亿元的自身成交额范围。</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观察思路，非操作指令：关注53.8—54.3元强支撑区能否守住；若有效跌破并放量，技术形态可能进一步转弱。</w:t>
      </w:r>
    </w:p>
    <w:p>
      <w:pPr>
        <w:pStyle w:val="ListParagraph"/>
        <w:numPr>
          <w:ilvl w:val="0"/>
          <w:numId w:val="2"/>
        </w:numPr>
        <w:spacing w:after="80" w:line="280"/>
      </w:pPr>
      <w:r>
        <w:rPr>
          <w:sz w:val="22"/>
          <w:szCs w:val="22"/>
        </w:rPr>
        <w:t xml:space="preserve">观察思路，非操作指令：关注57.8—59.1元压力区能否重新收复；未站回该区间前，反弹可视为弱势修复情景观察。</w:t>
      </w:r>
    </w:p>
    <w:p>
      <w:pPr>
        <w:pStyle w:val="ListParagraph"/>
        <w:numPr>
          <w:ilvl w:val="0"/>
          <w:numId w:val="2"/>
        </w:numPr>
        <w:spacing w:after="80" w:line="280"/>
      </w:pPr>
      <w:r>
        <w:rPr>
          <w:sz w:val="22"/>
          <w:szCs w:val="22"/>
        </w:rPr>
        <w:t xml:space="preserve">观察思路，非操作指令：关注成交额能否从近期约4.4—8.7亿元区间持续放大至约10亿元或以上，并与股价上涨同步。</w:t>
      </w:r>
    </w:p>
    <w:p>
      <w:pPr>
        <w:pStyle w:val="ListParagraph"/>
        <w:numPr>
          <w:ilvl w:val="0"/>
          <w:numId w:val="2"/>
        </w:numPr>
        <w:spacing w:after="80" w:line="280"/>
      </w:pPr>
      <w:r>
        <w:rPr>
          <w:sz w:val="22"/>
          <w:szCs w:val="22"/>
        </w:rPr>
        <w:t xml:space="preserve">观察思路，非操作指令：关注截至2026年6月30日的股东人数、前十大股东持股及机构持仓数据变化；该数据存在时滞，不等同于2026年9月11日的实时筹码状态。</w:t>
      </w:r>
    </w:p>
    <w:p>
      <w:pPr>
        <w:spacing w:after="200"/>
      </w:pPr>
      <w:r>
        <w:rPr>
          <w:i/>
          <w:iCs/>
          <w:color w:val="595959"/>
          <w:sz w:val="18"/>
          <w:szCs w:val="18"/>
        </w:rPr>
        <w:t xml:space="preserve">以上情景推演基于截至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全球功率半导体市场由英飞凌、安森美、意法半导体、瑞萨等国际厂商占据较强地位，竞争优势集中在车规级功率器件认证、高端IGBT和SiC产品、先进封装与模块、长期客户关系及全球化供应链。中国市场呈现“国际龙头领先、国内IDM企业在细分领域突破、Fabless设计公司聚焦单品类”的多层次竞争格局。华润微的优势在于国内市场产品线完整、IDM体系、特色工艺和功率器件规模，但在高端车规客户深度、全球化收入规模、先进SiC/GaN产品覆盖及部分核心设备材料自主化方面与全球龙头存在差距。</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国内头部企业通常具备6英寸、8英寸或12英寸晶圆生产线，或具备功率器件芯片设计、制造、封测一体化能力。</w:t>
      </w:r>
    </w:p>
    <w:p>
      <w:pPr>
        <w:pStyle w:val="ListParagraph"/>
        <w:numPr>
          <w:ilvl w:val="0"/>
          <w:numId w:val="2"/>
        </w:numPr>
        <w:spacing w:after="80" w:line="280"/>
      </w:pPr>
      <w:r>
        <w:rPr>
          <w:sz w:val="22"/>
          <w:szCs w:val="22"/>
        </w:rPr>
        <w:t xml:space="preserve">汽车、光伏、储能、工控或家电等细分市场的客户认证，以及从硅基MOSFET、IGBT向SiC、GaN等第三代半导体延伸，是国内企业进行产品结构升级的重要方向。</w:t>
      </w:r>
    </w:p>
    <w:p>
      <w:pPr>
        <w:pStyle w:val="ListParagraph"/>
        <w:numPr>
          <w:ilvl w:val="0"/>
          <w:numId w:val="2"/>
        </w:numPr>
        <w:spacing w:after="80" w:line="280"/>
      </w:pPr>
      <w:r>
        <w:rPr>
          <w:sz w:val="22"/>
          <w:szCs w:val="22"/>
        </w:rPr>
        <w:t xml:space="preserve">2025年国内功率半导体上市公司中，闻泰科技、时代电气、士兰微、华润微、扬杰科技等企业规模相对较大，但各家业务结构差异较大，不能仅按总营收简单排名。</w:t>
      </w:r>
    </w:p>
    <w:p>
      <w:pPr>
        <w:pStyle w:val="ListParagraph"/>
        <w:numPr>
          <w:ilvl w:val="0"/>
          <w:numId w:val="2"/>
        </w:numPr>
        <w:spacing w:after="80" w:line="280"/>
      </w:pPr>
      <w:r>
        <w:rPr>
          <w:sz w:val="22"/>
          <w:szCs w:val="22"/>
        </w:rPr>
        <w:t xml:space="preserve">行业市场份额和竞争梯队数据主要来自研究机构、券商或行业媒体，不属于公司审计数据；华润微在中国功率半导体、MOSFET市场的排名需同时注明统计机构、产品口径和统计年份。</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士兰微（600460.SH）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国内综合型IDM半导体企业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业务包括集成电路、分立器件、功率器件、IPM、IGBT、MEMS传感器和LED等。与华润微均具备芯片设计、晶圆制造和封装测试能力，并布局功率器件、模拟芯片、汽车电子和新能源；士兰微在白色家电、IPM、集成电路、LED及部分车规功率器件领域更广，华润微在功率MOSFET、功率IC、开放式晶圆制造和掩模业务方面更突出。</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扬杰科技（300373.SZ）</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功率半导体IDM企业，覆盖硅片、芯片、器件和封装测试</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要业务包括整流桥、二极管、功率器件芯片、MOSFET、车规及新能源功率器件。两家公司均采用较完整的IDM模式并在功率器件、汽车电子、光伏和工业控制领域竞争；扬杰科技在分立器件、功率二极管、硅片和整流器件领域优势较明显，华润微产品线延伸至MOSFET、功率IC、IGBT、晶圆代工、掩模和传感器。</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闻泰科技（600745.SH）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通过安世半导体布局全球分立器件和车规功率半导体的综合性企业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业务包括分立器件、模拟芯片、功率器件、保护器件及半导体产品。与华润微在MOSFET、二极管、车规功率器件和全球化客户方面形成竞争；闻泰科技依托安世半导体，在全球化程度、车规客户覆盖和分立器件规模方面较强，华润微更突出国内IDM体系、晶圆制造服务、掩模制造和产品方案一体化。</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斯达半导（603290.SH）</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国内IGBT模块和SiC模块代表性企业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要业务包括IGBT模块、SiC模块、功率半导体芯片及模块，面向新能源汽车、工业控制、光伏和储能。与华润微在IGBT、SiC、汽车电子、新能源和功率模块领域存在竞争；斯达半导产品结构更聚焦于IGBT和SiC模块，华润微拥有更完整的MOSFET、IGBT、功率IC、传感器、晶圆制造和封装测试体系。</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中车时代电气（688187.SH）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具备轨道交通牵引变流、功率半导体器件和新能源电驱等业务的综合性企业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业务包括轨道交通电气系统、IGBT、SiC功率器件、工业变流和新能源汽车电驱系统。与华润微在IGBT、SiC、功率模块及工业、新能源应用领域存在交集；时代电气下游强绑定轨道交通和大型工业客户，系统集成属性更强，华润微更偏通用型功率器件、晶圆制造和半导体产品平台。</w:t>
            </w:r>
          </w:p>
        </w:tc>
      </w:tr>
    </w:tbl>
    <w:p>
      <w:pPr>
        <w:spacing w:before="200"/>
      </w:pPr>
    </w:p>
    <w:p>
      <w:pPr>
        <w:spacing w:after="160" w:line="300"/>
      </w:pPr>
      <w:r>
        <w:rPr>
          <w:sz w:val="22"/>
          <w:szCs w:val="22"/>
        </w:rPr>
        <w:t xml:space="preserve">华润微的综合竞争力来自覆盖芯片设计、掩模制造、晶圆制造、封装测试及功率器件产品销售的IDM体系，产品线包括MOSFET、IGBT、功率IC、传感器及特色工艺芯片。相较士兰微和扬杰科技，公司在开放式晶圆制造、掩模及产品方案一体化方面更突出；相较闻泰科技，其全球化和车规客户覆盖并非主要优势；相较斯达半导和时代电气，公司产品平台更综合，但在高端模块或特定系统应用领域的聚焦度存在差异。当前主要矛盾是高资本开支后的产能利用率、产品价格竞争和高端产品占比，后续利润改善取决于12英寸产线爬坡、产品与方案毛利率回升及高附加值产品放量。</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主营盈利改善的持续性存在不确定性。2026年上半年归母净利润7.22亿元，而扣非归母净利润仅4.14亿元，且一季度包含约1.85亿元金融资产公允价值变动收益；若非经常性收益减少，实际利润增速可能低于归母净利润表现。</w:t>
      </w:r>
    </w:p>
    <w:p>
      <w:pPr>
        <w:pStyle w:val="ListParagraph"/>
        <w:numPr>
          <w:ilvl w:val="0"/>
          <w:numId w:val="2"/>
        </w:numPr>
        <w:spacing w:after="80" w:line="280"/>
      </w:pPr>
      <w:r>
        <w:rPr>
          <w:sz w:val="22"/>
          <w:szCs w:val="22"/>
        </w:rPr>
        <w:t xml:space="preserve">12英寸产线爬坡和利用率不足可能继续压制利润。公司制造成本中其他制造费用占集成电路业务成本42.50%，重资产产线的折旧、设备利用率和良率变化可能放大单位成本，并抵消收入增长和采购成本控制效果。</w:t>
      </w:r>
    </w:p>
    <w:p>
      <w:pPr>
        <w:pStyle w:val="ListParagraph"/>
        <w:numPr>
          <w:ilvl w:val="0"/>
          <w:numId w:val="2"/>
        </w:numPr>
        <w:spacing w:after="80" w:line="280"/>
      </w:pPr>
      <w:r>
        <w:rPr>
          <w:sz w:val="22"/>
          <w:szCs w:val="22"/>
        </w:rPr>
        <w:t xml:space="preserve">产品价格竞争及业务结构可能导致毛利率承压。2025年主营业务毛利率已由2022年的36.87%降至26.51%，制造与服务毛利率也由2022年的37.61%降至2025年的31.97%；若功率器件、晶圆制造服务或经销渠道继续面临价格压力，产品放量未必同步转化为利润增长。</w:t>
      </w:r>
    </w:p>
    <w:p>
      <w:pPr>
        <w:pStyle w:val="ListParagraph"/>
        <w:numPr>
          <w:ilvl w:val="0"/>
          <w:numId w:val="2"/>
        </w:numPr>
        <w:spacing w:after="80" w:line="280"/>
      </w:pPr>
      <w:r>
        <w:rPr>
          <w:sz w:val="22"/>
          <w:szCs w:val="22"/>
        </w:rPr>
        <w:t xml:space="preserve">碳化硅扩产计划尚未落地。截至2026年9月13日，公司尚未公告具体并购标的、交易金额、交易对手或正式收购方案；在自身产能有限且依赖外协、投资或参股锁定产能的情况下，相关收入增长和产能改善存在执行进度、合作落地及资本投入不及预期的风险。</w:t>
      </w:r>
    </w:p>
    <w:p>
      <w:pPr>
        <w:pStyle w:val="ListParagraph"/>
        <w:numPr>
          <w:ilvl w:val="0"/>
          <w:numId w:val="2"/>
        </w:numPr>
        <w:spacing w:after="80" w:line="280"/>
      </w:pPr>
      <w:r>
        <w:rPr>
          <w:sz w:val="22"/>
          <w:szCs w:val="22"/>
        </w:rPr>
        <w:t xml:space="preserve">库存和营运资金占用可能加大。2025年晶圆制造库存量同比增长24.76%，存货周转天数约96.79天，高于应收账款周转天数约53.71天；若需求或订单变化导致库存消化放缓，可能增加资金占用及存货减值压力。</w:t>
      </w:r>
    </w:p>
    <w:p>
      <w:pPr>
        <w:pStyle w:val="ListParagraph"/>
        <w:numPr>
          <w:ilvl w:val="0"/>
          <w:numId w:val="2"/>
        </w:numPr>
        <w:spacing w:after="80" w:line="280"/>
      </w:pPr>
      <w:r>
        <w:rPr>
          <w:sz w:val="22"/>
          <w:szCs w:val="22"/>
        </w:rPr>
        <w:t xml:space="preserve">公司在高端车规、SiC/GaN及全球化客户覆盖方面与国际龙头仍存在差距。汽车电子等领域认证周期长、质量要求高，若高端客户导入或产品认证进度不及预期，可能限制产品结构升级和高毛利业务放量。</w:t>
      </w:r>
    </w:p>
    <w:p>
      <w:pPr>
        <w:pStyle w:val="ListParagraph"/>
        <w:numPr>
          <w:ilvl w:val="0"/>
          <w:numId w:val="2"/>
        </w:numPr>
        <w:spacing w:after="80" w:line="280"/>
      </w:pPr>
      <w:r>
        <w:rPr>
          <w:sz w:val="22"/>
          <w:szCs w:val="22"/>
        </w:rPr>
        <w:t xml:space="preserve">估值和技术面可能放大股价波动。截至2026年9月10日PE-TTM约71.59倍、PB约3.18倍，机构对2026年归母净利润预测区间为9.70亿至15.95亿元；截至9月11日股价低于MA5、MA10和MA20，近5日及近10日大单资金净额分别约为净流出2.18亿元和4.62亿元，若盈利兑现不及预期或市场风险偏好下降，估值回落压力可能加大。</w:t>
      </w:r>
    </w:p>
    <w:p>
      <w:pPr>
        <w:pStyle w:val="ListParagraph"/>
        <w:numPr>
          <w:ilvl w:val="0"/>
          <w:numId w:val="2"/>
        </w:numPr>
        <w:spacing w:after="80" w:line="280"/>
      </w:pPr>
      <w:r>
        <w:rPr>
          <w:sz w:val="22"/>
          <w:szCs w:val="22"/>
        </w:rPr>
        <w:t xml:space="preserve">供应链和制造成本仍受外部因素影响。硅片、化学品、特种气体、封装材料及部分设备存在一定行业集中度，公司对部分关键投入的议价能力有限；同时2025年前五大供应商采购额占比16.52%，匿名披露也限制了对具体供应商依赖程度的进一步判断。</w:t>
      </w:r>
    </w:p>
    <w:p>
      <w:pPr>
        <w:pStyle w:val="ListParagraph"/>
        <w:numPr>
          <w:ilvl w:val="0"/>
          <w:numId w:val="2"/>
        </w:numPr>
        <w:spacing w:after="80" w:line="280"/>
      </w:pPr>
      <w:r>
        <w:rPr>
          <w:sz w:val="22"/>
          <w:szCs w:val="22"/>
        </w:rPr>
        <w:t xml:space="preserve">公司治理结构仍有后续事项需要关注。独立董事李悦辞职后，公司独立董事人数占董事会成员比例将低于三分之一，辞职将在股东会选举产生新任独立董事后生效；补选进展及审计合规委员会等相关职责衔接情况仍需持续关注。</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华润微的中长期增长逻辑在于IDM平台和产品线完整性，以及功率半导体向汽车电子、光伏储能、工业控制、AI服务器电源和SiC/GaN等高附加值应用升级。若12英寸产线持续爬坡并提升利用率和良率，同时高毛利产品放量、产品与方案业务占比提升，折旧摊薄和产品结构改善有望推动盈利恢复；公司已披露的AI服务器及数据中心电源产品上量、碳化硅“自建产能+外延合作”方向，为后续增长提供了业务抓手。</w:t>
      </w:r>
    </w:p>
    <w:p>
      <w:pPr>
        <w:spacing w:after="160" w:line="300"/>
      </w:pPr>
      <w:r>
        <w:rPr>
          <w:sz w:val="22"/>
          <w:szCs w:val="22"/>
        </w:rPr>
        <w:t xml:space="preserve">需要关注的是，碳化硅投资并购目前尚未形成具体交易，相关产能扩充仍处于战略规划和管理层表态阶段；2026年上半年利润改善也包含非经常性收益因素。公司未来业绩能否达到机构预测，取决于行业景气持续性、产品价格竞争、12英寸产线利用率、AI及汽车新能源需求兑现，以及高附加值产品放量情况。当前估值处于较高水平，股价技术形态偏弱，后续应结合主营盈利、现金流、产能爬坡和量价变化综合观察。</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华润微(688396)_公司公告_华润微：2026年半年度报告摘要新浪财经_新浪网 — https://money.finance.sina.com.cn/corp/view/vCB_AllBulletinDetail.php?id=12525223&amp;stockid=688396</w:t>
      </w:r>
    </w:p>
    <w:p>
      <w:pPr>
        <w:spacing w:after="200"/>
      </w:pPr>
      <w:r>
        <w:rPr>
          <w:i/>
          <w:iCs/>
          <w:color w:val="595959"/>
          <w:sz w:val="18"/>
          <w:szCs w:val="18"/>
        </w:rPr>
        <w:t xml:space="preserve">华润微(688396)_公司公告_华润微：2026年半年度报告新浪财经_新浪网 — https://money.finance.sina.com.cn/corp/view/vCB_AllBulletinDetail.php?id=12525224&amp;stockid=688396&amp;utm_source=openai</w:t>
      </w:r>
    </w:p>
    <w:p>
      <w:pPr>
        <w:spacing w:after="200"/>
      </w:pPr>
      <w:r>
        <w:rPr>
          <w:i/>
          <w:iCs/>
          <w:color w:val="595959"/>
          <w:sz w:val="18"/>
          <w:szCs w:val="18"/>
        </w:rPr>
        <w:t xml:space="preserve">华润微(688396) 盈利预测_F10_同花顺金融服务网 — https://basic.10jqka.com.cn/688396/worth.html</w:t>
      </w:r>
    </w:p>
    <w:p>
      <w:pPr>
        <w:spacing w:after="200"/>
      </w:pPr>
      <w:r>
        <w:rPr>
          <w:i/>
          <w:iCs/>
          <w:color w:val="595959"/>
          <w:sz w:val="18"/>
          <w:szCs w:val="18"/>
        </w:rPr>
        <w:t xml:space="preserve">华润微(688396)_公司公告_华润微：2025年年度报告新浪财经_新浪网 — https://money.finance.sina.com.cn/corp/view/vCB_AllBulletinDetail.php?id=12193705&amp;stockid=688396&amp;utm_source=openai</w:t>
      </w:r>
    </w:p>
    <w:p>
      <w:pPr>
        <w:spacing w:after="200"/>
      </w:pPr>
      <w:r>
        <w:rPr>
          <w:i/>
          <w:iCs/>
          <w:color w:val="595959"/>
          <w:sz w:val="18"/>
          <w:szCs w:val="18"/>
        </w:rPr>
        <w:t xml:space="preserve">https://pdf.dfcfw.com/pdf/H3_AP202604291821778724_1.pdf?1777499054000.pdf= — https://pdf.dfcfw.com/pdf/H3_AP202604291821778724_1.pdf?1777499054000.pdf=</w:t>
      </w:r>
    </w:p>
    <w:p>
      <w:pPr>
        <w:spacing w:after="200"/>
      </w:pPr>
      <w:r>
        <w:rPr>
          <w:i/>
          <w:iCs/>
          <w:color w:val="595959"/>
          <w:sz w:val="18"/>
          <w:szCs w:val="18"/>
        </w:rPr>
        <w:t xml:space="preserve">机构评级|华泰证券给予华润微“买入”评级 — https://stock.10jqka.com.cn/20260427/c676299933.shtml</w:t>
      </w:r>
    </w:p>
    <w:p>
      <w:pPr>
        <w:spacing w:after="200"/>
      </w:pPr>
      <w:r>
        <w:rPr>
          <w:i/>
          <w:iCs/>
          <w:color w:val="595959"/>
          <w:sz w:val="18"/>
          <w:szCs w:val="18"/>
        </w:rPr>
        <w:t xml:space="preserve">华润微(688396)股票分析师一致预期_市场情绪_英为财情Investing.com — https://cn.investing.com/equities/china-resources-microelectronics-consensus-estimates?utm_source=openai</w:t>
      </w:r>
    </w:p>
    <w:p>
      <w:pPr>
        <w:spacing w:after="200"/>
      </w:pPr>
      <w:r>
        <w:rPr>
          <w:i/>
          <w:iCs/>
          <w:color w:val="595959"/>
          <w:sz w:val="18"/>
          <w:szCs w:val="18"/>
        </w:rPr>
        <w:t xml:space="preserve">华润微(688396)市盈率|估值|基本面 - 理杏仁 — https://www.lixinger.com/equity/company/detail/sh/688396/688396/fundamental/valuation/pe-ttm?utm_source=openai</w:t>
      </w:r>
    </w:p>
    <w:p>
      <w:pPr>
        <w:spacing w:after="200"/>
      </w:pPr>
      <w:r>
        <w:rPr>
          <w:i/>
          <w:iCs/>
          <w:color w:val="595959"/>
          <w:sz w:val="18"/>
          <w:szCs w:val="18"/>
        </w:rPr>
        <w:t xml:space="preserve">华润微(688396) - 公司简介 - 股票行情中心 - 搜狐证券 — https://q.stock.sohu.com/cn/688396/gsjj.shtml?utm_source=openai</w:t>
      </w:r>
    </w:p>
    <w:p>
      <w:pPr>
        <w:spacing w:after="200"/>
      </w:pPr>
      <w:r>
        <w:rPr>
          <w:i/>
          <w:iCs/>
          <w:color w:val="595959"/>
          <w:sz w:val="18"/>
          <w:szCs w:val="18"/>
        </w:rPr>
        <w:t xml:space="preserve">华润微(688396)_公司公告_华润微：2026年半年度报告新浪财经_新浪网 — https://money.finance.sina.com.cn/corp/view/vCB_AllBulletinDetail.php?id=12525224&amp;stockid=688396</w:t>
      </w:r>
    </w:p>
    <w:p>
      <w:pPr>
        <w:spacing w:after="200"/>
      </w:pPr>
      <w:r>
        <w:rPr>
          <w:i/>
          <w:iCs/>
          <w:color w:val="595959"/>
          <w:sz w:val="18"/>
          <w:szCs w:val="18"/>
        </w:rPr>
        <w:t xml:space="preserve">华润微：半年度业绩预告为自愿信息披露事项_科创板要闻_科创板_股票_证券之星 — https://wap.stockstar.com/detail/RB2026080700028526?utm_source=openai</w:t>
      </w:r>
    </w:p>
    <w:p>
      <w:pPr>
        <w:spacing w:after="200"/>
      </w:pPr>
      <w:r>
        <w:rPr>
          <w:i/>
          <w:iCs/>
          <w:color w:val="595959"/>
          <w:sz w:val="18"/>
          <w:szCs w:val="18"/>
        </w:rPr>
        <w:t xml:space="preserve">华润微(688396)_公司公告_华润微：关于公司独立董事辞职的公告新浪财经_新浪网 — https://money.finance.sina.com.cn/corp/view/vCB_AllBulletinDetail.php?id=12525221&amp;stockid=688396</w:t>
      </w:r>
    </w:p>
    <w:p>
      <w:pPr>
        <w:spacing w:after="200"/>
      </w:pPr>
      <w:r>
        <w:rPr>
          <w:i/>
          <w:iCs/>
          <w:color w:val="595959"/>
          <w:sz w:val="18"/>
          <w:szCs w:val="18"/>
        </w:rPr>
        <w:t xml:space="preserve">华润微(688396)_公司公告_华润微：2026年8月投资者关系活动记录表新浪财经_新浪网 — https://vip.stock.finance.sina.com.cn/corp/view/vCB_AllBulletinDetail.php?id=12582762&amp;stockid=688396</w:t>
      </w:r>
    </w:p>
    <w:p>
      <w:pPr>
        <w:spacing w:after="200"/>
      </w:pPr>
      <w:r>
        <w:rPr>
          <w:i/>
          <w:iCs/>
          <w:color w:val="595959"/>
          <w:sz w:val="18"/>
          <w:szCs w:val="18"/>
        </w:rPr>
        <w:t xml:space="preserve">华润微(688396)公司公告_新浪财经_新浪网 — https://money.finance.sina.com.cn/corp/go.php/vCB_AllBulletin/stockid/688396.phtml</w:t>
      </w:r>
    </w:p>
    <w:p>
      <w:pPr>
        <w:spacing w:after="200"/>
      </w:pPr>
      <w:r>
        <w:rPr>
          <w:i/>
          <w:iCs/>
          <w:color w:val="595959"/>
          <w:sz w:val="18"/>
          <w:szCs w:val="18"/>
        </w:rPr>
        <w:t xml:space="preserve">华润微电子欢迎您--新闻资讯 — https://www.crmicro.com/news/</w:t>
      </w:r>
    </w:p>
    <w:p>
      <w:pPr>
        <w:spacing w:after="200"/>
      </w:pPr>
      <w:r>
        <w:rPr>
          <w:i/>
          <w:iCs/>
          <w:color w:val="595959"/>
          <w:sz w:val="18"/>
          <w:szCs w:val="18"/>
        </w:rPr>
        <w:t xml:space="preserve">华润微(688396)股票历史数据:历史行情,价格,走势图表_英为财情Investing.com — https://cn.investing.com/equities/china-resources-microelectronics-historical-data</w:t>
      </w:r>
    </w:p>
    <w:p>
      <w:pPr>
        <w:spacing w:after="200"/>
      </w:pPr>
      <w:r>
        <w:rPr>
          <w:i/>
          <w:iCs/>
          <w:color w:val="595959"/>
          <w:sz w:val="18"/>
          <w:szCs w:val="18"/>
        </w:rPr>
        <w:t xml:space="preserve">华润微 (688396) - 历史交易数据 | 打板客网 — https://dabanke.com/hangqing-688396.html</w:t>
      </w:r>
    </w:p>
    <w:p>
      <w:pPr>
        <w:spacing w:after="200"/>
      </w:pPr>
      <w:r>
        <w:rPr>
          <w:i/>
          <w:iCs/>
          <w:color w:val="595959"/>
          <w:sz w:val="18"/>
          <w:szCs w:val="18"/>
        </w:rPr>
        <w:t xml:space="preserve">华润微(688396)股票最新价格行情,实时走势图,股价分析预测_英为财情Investing.com — https://cn.investing.com/equities/china-resources-microelectronics?utm_source=openai</w:t>
      </w:r>
    </w:p>
    <w:p>
      <w:pPr>
        <w:spacing w:after="200"/>
      </w:pPr>
      <w:r>
        <w:rPr>
          <w:i/>
          <w:iCs/>
          <w:color w:val="595959"/>
          <w:sz w:val="18"/>
          <w:szCs w:val="18"/>
        </w:rPr>
        <w:t xml:space="preserve">华润微(688396)股票行情走势技术分析_未来预测_买卖操作建议_英为财情Investing.com — https://cn.investing.com/equities/china-resources-microelectronics-technical?utm_source=openai</w:t>
      </w:r>
    </w:p>
    <w:p>
      <w:pPr>
        <w:spacing w:after="200"/>
      </w:pPr>
      <w:r>
        <w:rPr>
          <w:i/>
          <w:iCs/>
          <w:color w:val="595959"/>
          <w:sz w:val="18"/>
          <w:szCs w:val="18"/>
        </w:rPr>
        <w:t xml:space="preserve">单股调研 — https://www.ashare-dashboard.com/stocks?ts_code=688396.SH&amp;utm_source=openai</w:t>
      </w:r>
    </w:p>
    <w:p>
      <w:pPr>
        <w:spacing w:after="200"/>
      </w:pPr>
      <w:r>
        <w:rPr>
          <w:i/>
          <w:iCs/>
          <w:color w:val="595959"/>
          <w:sz w:val="18"/>
          <w:szCs w:val="18"/>
        </w:rPr>
        <w:t xml:space="preserve">华润微(688396)主要股东_新浪财经_新浪网 — https://money.finance.sina.com.cn/corp/go.php/vCI_StockHolder/stockid/688396.phtml?utm_source=openai</w:t>
      </w:r>
    </w:p>
    <w:p>
      <w:pPr>
        <w:spacing w:after="200"/>
      </w:pPr>
      <w:r>
        <w:rPr>
          <w:i/>
          <w:iCs/>
          <w:color w:val="595959"/>
          <w:sz w:val="18"/>
          <w:szCs w:val="18"/>
        </w:rPr>
        <w:t xml:space="preserve">华润微(688396) 最新动态_F10_同花顺金融服务网 — https://basic.10jqka.com.cn/688396/?utm_source=openai</w:t>
      </w:r>
    </w:p>
    <w:p>
      <w:pPr>
        <w:spacing w:after="200"/>
      </w:pPr>
      <w:r>
        <w:rPr>
          <w:i/>
          <w:iCs/>
          <w:color w:val="595959"/>
          <w:sz w:val="18"/>
          <w:szCs w:val="18"/>
        </w:rPr>
        <w:t xml:space="preserve">本报告由AI基于公开渠道信息自动检索、整理并生成，信息截至 截至2026年9月11日收盘；2026年9月12日至13日为周末，暂无新的A股收盘数据。部分技术指标为基于公开历史收盘价自行计算，部分行情及股东数据存在平台口径差异。，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2026-09-13T11:44:01.503Z</dcterms:created>
  <dcterms:modified xsi:type="dcterms:W3CDTF">2026-09-13T11:44:01.503Z</dcterms:modified>
</cp:coreProperties>
</file>

<file path=docProps/custom.xml><?xml version="1.0" encoding="utf-8"?>
<Properties xmlns="http://schemas.openxmlformats.org/officeDocument/2006/custom-properties" xmlns:vt="http://schemas.openxmlformats.org/officeDocument/2006/docPropsVTypes"/>
</file>