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武汉达梦数据库股份有限公司（达梦数据） (688692)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行业：数据库基础软件与信息技术服务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截至2026年9月11日收盘；技术指标主要按截至2026年9月11日收盘数据测算，MACD和RSI部分采用截至2026年9月10日公开披露数据</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达梦数据2026年上半年实现营业收入7.1281亿元，同比增长36.27%，但归母净利润仅增长7.99%至2.2102亿元，扣非归母净利润增长10.91%；收入增速明显快于利润增速，主要受到股份支付费用以及销售、研发和管理费用较快增长的影响。同期经营活动现金流量净额为451.34万元，同比下降52.86%，显示业绩扩张伴随利润率和现金流压力。</w:t>
      </w:r>
    </w:p>
    <w:p>
      <w:pPr>
        <w:spacing w:after="160" w:line="300"/>
      </w:pPr>
      <w:r>
        <w:rPr>
          <w:sz w:val="22"/>
          <w:szCs w:val="22"/>
        </w:rPr>
        <w:t xml:space="preserve">公司的核心增长仍由数据库软件授权驱动。2025年软件产品使用授权收入约12.09亿元，占主营业务收入约92.55%，同比增长35.21%，毛利率达99.73%，带动公司2025年综合主营业务毛利率修复至约96.13%。2026年上半年软件产品使用授权收入为6.5664亿元，DM9、GDMBASE V4.0、达梦启云数据库V4.0及DAMENG PAI V2.0等产品已于2026年4月发布，后续增长取决于新产品商业化及数据库国产替代需求延续。</w:t>
      </w:r>
    </w:p>
    <w:p>
      <w:pPr>
        <w:spacing w:after="160" w:line="300"/>
      </w:pPr>
      <w:r>
        <w:rPr>
          <w:sz w:val="22"/>
          <w:szCs w:val="22"/>
        </w:rPr>
        <w:t xml:space="preserve">公司具备国产本地部署关系型数据库、金融行业集中式事务型数据库及大型政企客户积累等优势，但客户集中度较高，2025年前五大客户销售额占营业收入48.11%，前两大客户合计约41.60%；应收账款约5.09亿元，约占2025年主营业务收入39.1%。数据库一体机、行业解决方案和运维服务有助于增强客户黏性，但毛利率分别为38.75%、42.10%和57.92%，显著低于软件授权业务。</w:t>
      </w:r>
    </w:p>
    <w:p>
      <w:pPr>
        <w:spacing w:after="160" w:line="300"/>
      </w:pPr>
      <w:r>
        <w:rPr>
          <w:sz w:val="22"/>
          <w:szCs w:val="22"/>
        </w:rPr>
        <w:t xml:space="preserve">截至2026年9月11日，公司股价收于203.42元，较8月18日收盘价回落约21.1%，接近52周低位；现价低于MA5、MA10和MA20，MACD处于零轴下方，技术面仍偏弱，202元附近是重要观察区域。按给定数据，静态市盈率约44.6倍、TTM市盈率约43.2倍，估值已包含较高成长预期，机构对2026—2028年盈利预测及目标价存在明显差异。</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688692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达梦数据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2024年6月12日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总部所在地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武汉东湖新技术开发区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数据库基础软件的研发、销售与服务，覆盖数据库软件、集群软件、云计算与大数据产品、数据库一体机及相关技术服务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13.03亿元，同比增长24.91%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2025年主营业务成本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5,035.00万元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2025年综合主营业务毛利率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96.13%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2025年研发人员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568人，占公司总人数31.50%；2024年末为503人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标准化数据库软件授权为主，运维服务、行业解决方案及数据库一体机为辅</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数据库软件：包括DM7、DM8系列关系型数据库，以及新云缓存数据库、新云文档数据库、新云时序数据库等。2025年软件产品使用授权收入12.09亿元，占主营业务收入约92.55%，同比增长35.21%，毛利率99.73%。</w:t>
      </w:r>
    </w:p>
    <w:p>
      <w:pPr>
        <w:pStyle w:val="ListParagraph"/>
        <w:numPr>
          <w:ilvl w:val="0"/>
          <w:numId w:val="2"/>
        </w:numPr>
        <w:spacing w:after="80" w:line="280"/>
      </w:pPr>
      <w:r>
        <w:rPr>
          <w:sz w:val="22"/>
          <w:szCs w:val="22"/>
        </w:rPr>
        <w:t xml:space="preserve">集群软件：包括数据守护集群、读写分离集群、数据共享集群、大规模并行处理集群和分布式计算集群，主要用于高可用、负载均衡、横向扩展、故障恢复和容灾。</w:t>
      </w:r>
    </w:p>
    <w:p>
      <w:pPr>
        <w:pStyle w:val="ListParagraph"/>
        <w:numPr>
          <w:ilvl w:val="0"/>
          <w:numId w:val="2"/>
        </w:numPr>
        <w:spacing w:after="80" w:line="280"/>
      </w:pPr>
      <w:r>
        <w:rPr>
          <w:sz w:val="22"/>
          <w:szCs w:val="22"/>
        </w:rPr>
        <w:t xml:space="preserve">云计算与大数据产品：包括数据复制、数据集成、数据同步、数据抽取清洗转换、数据融合管理平台、达梦启云和达梦启智系列产品，服务于数据库迁移、数据仓库、大数据平台及跨部门数据共享。</w:t>
      </w:r>
    </w:p>
    <w:p>
      <w:pPr>
        <w:pStyle w:val="ListParagraph"/>
        <w:numPr>
          <w:ilvl w:val="0"/>
          <w:numId w:val="2"/>
        </w:numPr>
        <w:spacing w:after="80" w:line="280"/>
      </w:pPr>
      <w:r>
        <w:rPr>
          <w:sz w:val="22"/>
          <w:szCs w:val="22"/>
        </w:rPr>
        <w:t xml:space="preserve">数据库一体机：组合服务器、交换机、基础软件、数据库软件和集群软件，面向密集交易、多租户、云上数据库资源池及高负载业务场景。2025年收入2,026.36万元，占比约1.55%，同比增长55.24%，毛利率38.75%。</w:t>
      </w:r>
    </w:p>
    <w:p>
      <w:pPr>
        <w:pStyle w:val="ListParagraph"/>
        <w:numPr>
          <w:ilvl w:val="0"/>
          <w:numId w:val="2"/>
        </w:numPr>
        <w:spacing w:after="80" w:line="280"/>
      </w:pPr>
      <w:r>
        <w:rPr>
          <w:sz w:val="22"/>
          <w:szCs w:val="22"/>
        </w:rPr>
        <w:t xml:space="preserve">运维与技术服务：包括数据库安装部署、技术支持、产品升级、驻场服务、数据库迁移和运行维护。2025年收入5,039.94万元，占比约3.86%，同比增长33.46%，毛利率57.92%。</w:t>
      </w:r>
    </w:p>
    <w:p>
      <w:pPr>
        <w:pStyle w:val="ListParagraph"/>
        <w:numPr>
          <w:ilvl w:val="0"/>
          <w:numId w:val="2"/>
        </w:numPr>
        <w:spacing w:after="80" w:line="280"/>
      </w:pPr>
      <w:r>
        <w:rPr>
          <w:sz w:val="22"/>
          <w:szCs w:val="22"/>
        </w:rPr>
        <w:t xml:space="preserve">数据及行业解决方案：面向信息化应用建设、数据治理、数据分析和行业场景。2025年收入2,323.42万元，占比约1.78%，同比下降76.30%，毛利率42.10%；2024年存在单一较大项目验收形成的高基数。</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达梦数据位于IT基础软件产业链中游偏核心环节，上接CPU、服务器、存储、网络设备、操作系统、中间件和云基础设施，下接党政、金融、电力、能源、通信、交通、航空、医疗、教育、国防军工等行业的信息化系统。公司核心价值在数据库内核、产品研发、生态适配、客户认证和技术服务，利润主要由标准化数据库软件授权驱动。</w:t>
      </w:r>
    </w:p>
    <w:p>
      <w:pPr>
        <w:pStyle w:val="ListParagraph"/>
        <w:numPr>
          <w:ilvl w:val="0"/>
          <w:numId w:val="2"/>
        </w:numPr>
        <w:spacing w:after="80" w:line="280"/>
      </w:pPr>
      <w:r>
        <w:rPr>
          <w:sz w:val="22"/>
          <w:szCs w:val="22"/>
        </w:rPr>
        <w:t xml:space="preserve">软件授权业务的主要投入不是大宗原材料，而是研发人员、数据库内核技术、测试环境、操作系统和中间件适配、销售服务网络等。</w:t>
      </w:r>
    </w:p>
    <w:p>
      <w:pPr>
        <w:pStyle w:val="ListParagraph"/>
        <w:numPr>
          <w:ilvl w:val="0"/>
          <w:numId w:val="2"/>
        </w:numPr>
        <w:spacing w:after="80" w:line="280"/>
      </w:pPr>
      <w:r>
        <w:rPr>
          <w:sz w:val="22"/>
          <w:szCs w:val="22"/>
        </w:rPr>
        <w:t xml:space="preserve">数据库一体机及解决方案业务需采购CPU、服务器、存储设备、网络交换机、基础软件等；2025年数据库一体机成本主要包括服务器、交换机、基础软件、生产安装人工和售后质保等支出。</w:t>
      </w:r>
    </w:p>
    <w:p>
      <w:pPr>
        <w:pStyle w:val="ListParagraph"/>
        <w:numPr>
          <w:ilvl w:val="0"/>
          <w:numId w:val="2"/>
        </w:numPr>
        <w:spacing w:after="80" w:line="280"/>
      </w:pPr>
      <w:r>
        <w:rPr>
          <w:sz w:val="22"/>
          <w:szCs w:val="22"/>
        </w:rPr>
        <w:t xml:space="preserve">2025年前五大供应商采购额约1,257.77万元，占采购总额61.72%；第一大供应商采购额492.80万元，占采购总额24.18%。公司披露不存在向单个供应商采购比例超过50%或严重依赖少数供应商的情况。该集中度数据来自2025年公开披露，具体供应商名称在部分公开页面中匿名呈现。</w:t>
      </w:r>
    </w:p>
    <w:p>
      <w:pPr>
        <w:pStyle w:val="ListParagraph"/>
        <w:numPr>
          <w:ilvl w:val="0"/>
          <w:numId w:val="2"/>
        </w:numPr>
        <w:spacing w:after="80" w:line="280"/>
      </w:pPr>
      <w:r>
        <w:rPr>
          <w:sz w:val="22"/>
          <w:szCs w:val="22"/>
        </w:rPr>
        <w:t xml:space="preserve">公司对硬件供应商的成本敏感度主要集中在数据库一体机和解决方案业务，而非核心软件授权业务。2025年软件产品使用授权收入12.09亿元，对应营业成本327.84万元，毛利率99.73%，显示核心软件业务对硬件投入依赖较低。</w:t>
      </w:r>
    </w:p>
    <w:p>
      <w:pPr>
        <w:pStyle w:val="ListParagraph"/>
        <w:numPr>
          <w:ilvl w:val="0"/>
          <w:numId w:val="2"/>
        </w:numPr>
        <w:spacing w:after="80" w:line="280"/>
      </w:pPr>
      <w:r>
        <w:rPr>
          <w:sz w:val="22"/>
          <w:szCs w:val="22"/>
        </w:rPr>
        <w:t xml:space="preserve">核心软件授权业务具有较强的规模效应和成本优势，但硬件、基础软件、实施人工等投入会压低一体机和项目型业务毛利率。</w:t>
      </w:r>
    </w:p>
    <w:p>
      <w:pPr>
        <w:pStyle w:val="ListParagraph"/>
        <w:numPr>
          <w:ilvl w:val="0"/>
          <w:numId w:val="2"/>
        </w:numPr>
        <w:spacing w:after="80" w:line="280"/>
      </w:pPr>
      <w:r>
        <w:rPr>
          <w:sz w:val="22"/>
          <w:szCs w:val="22"/>
        </w:rPr>
        <w:t xml:space="preserve">下游客户主要包括党政机关、大中型企业、事业单位以及金融、电力、能源、通信、交通、航空、公安、医疗、教育和国防军工等行业客户。</w:t>
      </w:r>
    </w:p>
    <w:p>
      <w:pPr>
        <w:pStyle w:val="ListParagraph"/>
        <w:numPr>
          <w:ilvl w:val="0"/>
          <w:numId w:val="2"/>
        </w:numPr>
        <w:spacing w:after="80" w:line="280"/>
      </w:pPr>
      <w:r>
        <w:rPr>
          <w:sz w:val="22"/>
          <w:szCs w:val="22"/>
        </w:rPr>
        <w:t xml:space="preserve">2025年前五大客户销售额合计6.28亿元，占年度营业收入48.11%；第一大客户销售额2.76亿元，占比21.14%；第二大客户销售额2.67亿元，占比20.46%；前两大客户合计约41.60%。上述集中度数据为2025年度口径，客户名称在部分公开页面中匿名呈现，具体客户构成无法仅凭公开摘要核实。</w:t>
      </w:r>
    </w:p>
    <w:p>
      <w:pPr>
        <w:pStyle w:val="ListParagraph"/>
        <w:numPr>
          <w:ilvl w:val="0"/>
          <w:numId w:val="2"/>
        </w:numPr>
        <w:spacing w:after="80" w:line="280"/>
      </w:pPr>
      <w:r>
        <w:rPr>
          <w:sz w:val="22"/>
          <w:szCs w:val="22"/>
        </w:rPr>
        <w:t xml:space="preserve">大型政企项目通常采用招投标、集采或框架采购，客户采购规模大、议价能力较强，收入确认还受到实施、验收和预算进度影响。</w:t>
      </w:r>
    </w:p>
    <w:p>
      <w:pPr>
        <w:pStyle w:val="ListParagraph"/>
        <w:numPr>
          <w:ilvl w:val="0"/>
          <w:numId w:val="2"/>
        </w:numPr>
        <w:spacing w:after="80" w:line="280"/>
      </w:pPr>
      <w:r>
        <w:rPr>
          <w:sz w:val="22"/>
          <w:szCs w:val="22"/>
        </w:rPr>
        <w:t xml:space="preserve">数据库进入客户核心生产系统后，替换涉及数据迁移、应用适配、性能调优和业务连续性风险，客户替换成本较高；但在标准化软件采购及大型项目中，客户仍具有较强议价能力。</w:t>
      </w:r>
    </w:p>
    <w:p>
      <w:pPr>
        <w:pStyle w:val="ListParagraph"/>
        <w:numPr>
          <w:ilvl w:val="0"/>
          <w:numId w:val="2"/>
        </w:numPr>
        <w:spacing w:after="80" w:line="280"/>
      </w:pPr>
      <w:r>
        <w:rPr>
          <w:sz w:val="22"/>
          <w:szCs w:val="22"/>
        </w:rPr>
        <w:t xml:space="preserve">软件授权标准化程度较高、边际成本较低，产品具备规模效应；数据及行业解决方案、数据库一体机和驻场运维需要更多硬件、实施和人工投入，毛利率明显低于软件授权。</w:t>
      </w:r>
    </w:p>
    <w:p>
      <w:pPr>
        <w:pStyle w:val="ListParagraph"/>
        <w:numPr>
          <w:ilvl w:val="0"/>
          <w:numId w:val="2"/>
        </w:numPr>
        <w:spacing w:after="80" w:line="280"/>
      </w:pPr>
      <w:r>
        <w:rPr>
          <w:sz w:val="22"/>
          <w:szCs w:val="22"/>
        </w:rPr>
        <w:t xml:space="preserve">截至2025年12月31日，应收账款约5.09亿元，约占2025年主营业务收入的39.1%，应收账款周转天数约126.7天，表明政企客户、大型项目及验收制业务占用了一定营运资金。2025年经营活动产生的现金流量净额约5.35亿元，高于同期归母净利润约5.17亿元，但仍需跟踪大客户回款、应收账款账龄、合同资产及项目验收情况。上述应收账款周转指标来自公开财务数据平台，可能与年报口径存在差异。</w:t>
      </w:r>
    </w:p>
    <w:p>
      <w:pPr>
        <w:pStyle w:val="ListParagraph"/>
        <w:numPr>
          <w:ilvl w:val="0"/>
          <w:numId w:val="2"/>
        </w:numPr>
        <w:spacing w:after="80" w:line="280"/>
      </w:pPr>
      <w:r>
        <w:rPr>
          <w:sz w:val="22"/>
          <w:szCs w:val="22"/>
        </w:rPr>
        <w:t xml:space="preserve">公司客户集中度和供应商集中度均存在一定程度集中：2025年前五大客户占年度营业收入48.11%，前五大供应商占采购总额61.72%。客户集中度数据明确为2025年度口径，但客户名称在部分公开页面匿名，且相关公开摘要无法进一步交叉核实具体客户；供应商集中度同样以2025年披露口径为准。客户集中度较高可能使采购节奏、项目验收延期或单一客户采购波动影响收入；供应商采购绝对金额相对主营收入较小，对整体利润的直接影响有限。</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主营业务毛利率约90.60%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销售净利率约59.01%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软件授权收入占比较高，软件授权毛利率接近100%；净利率受到政府补助、费用结构及利润基数影响较大。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主营业务毛利率约94.11%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销售净利率约38.56%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软件授权业务占比提升，带动主营业务毛利率上升；净利率下降主要与非经常性收益和利润基数变化有关。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主营业务毛利率约95.84%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销售净利率约36.88%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标准化软件授权仍是主要利润来源，数据及行业解决方案业务占比较低，综合毛利率保持高位。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主营业务毛利率约89.63%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销售净利率约34.44%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数据及行业解决方案收入增长较快，项目实施和软硬件成本上升；数据库一体机开始放量，低毛利业务占比提高，综合毛利率下降。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主营业务毛利率约96.13%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销售净利率约39.44%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软件授权收入同比增长35.21%、占主营业务收入约92.55%；数据及行业解决方案收入回落，高毛利软件授权权重提升，推动综合毛利率修复。净利率主要参考公开财务指标平台，不同平台口径可能存在差异。</w:t>
            </w:r>
          </w:p>
        </w:tc>
      </w:tr>
    </w:tbl>
    <w:p>
      <w:pPr>
        <w:spacing w:before="200"/>
      </w:pPr>
    </w:p>
    <w:p>
      <w:pPr>
        <w:spacing w:after="160" w:line="300"/>
      </w:pPr>
      <w:r>
        <w:rPr>
          <w:sz w:val="22"/>
          <w:szCs w:val="22"/>
        </w:rPr>
        <w:t xml:space="preserve">达梦数据处于IT产业链中游偏核心的高毛利、轻资产软件环节，而非上游资源或下游消费品牌环节。当前利润主要由标准化数据库授权驱动，进一步改善利润取决于软件授权规模扩大、金融能源党政等核心行业国产替代深化、分布式及云数据库商业化，以及数据库一体机和行业解决方案放量时的成本控制；后两类业务虽然毛利率较低，但有助于增强客户黏性和进入核心生产系统。</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7.1281亿元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36.27%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归属于上市公司股东的净利润2.2102亿元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13.0585亿元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25.03%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归属于上市公司股东的净利润5.1662亿元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42.76%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10.4443亿元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归属于上市公司股东的净利润3.6187亿元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年半年度报告于2026年8月26日披露，未经审计；2025年年报已经审计，审计机构为大信会计师事务所。2026年上半年扣除非经常性损益后的归母净利润为2.0913亿元，同比增长10.91%；基本每股收益为1.95元，同比增长7.73%。</w:t>
      </w:r>
    </w:p>
    <w:p>
      <w:pPr>
        <w:spacing w:after="160" w:line="300"/>
      </w:pPr>
      <w:r>
        <w:rPr>
          <w:sz w:val="22"/>
          <w:szCs w:val="22"/>
        </w:rPr>
        <w:t xml:space="preserve">2026年上半年收入增长明显快于归母净利润，主要受股份支付费用影响；扣除股份支付影响后，上半年净利润约2.86亿元，同比增长41.44%。费用方面，销售费用为2.6007亿元，同比增长52.21%；研发费用为1.6081亿元，同比增长43.90%；管理费用为0.7346亿元，同比增长53.39%；研发投入占营业收入比例为22.56%。经营活动现金流量净额为451.34万元，同比下降52.86%。收入主要来自软件产品使用授权，2026年上半年该项收入为6.5664亿元；2025年软件产品使用授权收入约12.086亿元，占营业收入约92.55%。2025年公司毛利率约96.12%。</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根据同花顺F10汇总，截至2026年9月11日，近6个月共有15家机构对2026年度业绩进行预测；收入预测均值及盈利预测均为公开研报摘录，并非交易所或公司官方指引。代表性机构预测存在差异：华创证券预计2026—2028年营业收入为18.29亿、23.97亿、31.38亿元，归母净利润为6.42亿、8.54亿、10.89亿元，EPS为5.67元、7.55元、9.62元；开源证券归母净利润为6.99亿、8.99亿、11.22亿元，EPS为6.17元、7.94元、9.91元；平安证券归母净利润为6.27亿、8.06亿、10.29亿元，EPS为5.54元、7.12元、9.08元；招商证券归母净利润为5.21亿、6.95亿、9.97亿元，EPS为4.60元、6.14元、8.81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机构预测均值17.27亿元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归母净利润预测均值6.59亿元，区间5.21亿—7.14亿元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较2025年归母净利润约增长22%—38%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预测均值5.82元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机构预测均值22.55亿元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归母净利润预测均值8.46亿元，区间6.95亿—9.10亿元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机构普遍预期保持20%左右或更高的利润增速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预测均值7.47元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机构预测均值28.89亿元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归母净利润预测均值10.64亿元，区间9.77亿—11.23亿元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机构普遍预期保持20%左右或更高的利润增速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预测均值9.40元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目标价约300.65元，对应2026年约53倍市盈率。</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预计2026—2028年EPS为6.17元、7.94元、9.91元；未披露新的明确目标价。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首次覆盖；预计2026—2028年归母净利润为6.82亿、8.45亿、10.33亿元。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买入-A（首次）</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6个月目标价305.75元，对应2026年约50倍动态市盈率。</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日期未明确，公开信息显示为近六个月观点</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2026年目标价预测最高约382元、最低约355元、平均约367.65元；与其他机构目标价存在差异。</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公开平台汇总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机构目标价区间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日期及具体机构不完全明确</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近期分析师目标价约300.65元至413.56元，平均约358.41元；平台数据混合不同时间的机构报告，不宜视为统一市场共识。</w:t>
            </w:r>
          </w:p>
        </w:tc>
      </w:tr>
    </w:tbl>
    <w:p>
      <w:pPr>
        <w:spacing w:before="200"/>
      </w:pPr>
    </w:p>
    <w:p>
      <w:pPr>
        <w:spacing w:after="160" w:line="300"/>
      </w:pPr>
      <w:r>
        <w:rPr>
          <w:sz w:val="22"/>
          <w:szCs w:val="22"/>
        </w:rPr>
        <w:t xml:space="preserve">最近交易日为2026年9月11日，收盘价约203.44元，单日跌幅约2.45%；截至2026年6月30日总股本为1.1324亿股，据此估算总市值约230.4亿元。按2025年年报归母净利润5.1662亿元计算，静态市盈率约44.6倍；按2026年上半年及2025年同期数据滚动计算，TTM归母净利润约为5.33亿元，对应市盈率约43.2倍。中财网截至2026年9月9日披露的动态市盈率约43.22倍、扣非市盈率约43.45倍、市净率约5.91倍。按机构盈利预测均值EPS计算，当前股价对应2026年、2027年和2028年预测市盈率分别约34.9倍、27.2倍和21.6倍；不同机构口径下，2026年预测市盈率大致为约29—39倍。按开源证券预测EPS计算，对应市盈率约为38.5倍、29.9倍和24.0倍。整体看，公司当前约43倍TTM市盈率、约5.9倍市净率，已经反映较高成长预期；估值能否进一步上行，取决于软件授权收入增长、股份支付影响变化，以及DM9、数据库一体机和AI+数据库产品能否形成新的收入与利润增量。主要不确定性包括股份支付可能继续压制报表利润增速、销售及研发等费用快速增长导致利润率和现金流承压，以及机构盈利预测和目标价分歧较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2026年半年度业绩保持增长，研发投入同比提升</w:t>
      </w:r>
    </w:p>
    <w:p>
      <w:pPr>
        <w:spacing w:after="160" w:line="300"/>
      </w:pPr>
      <w:r>
        <w:rPr>
          <w:sz w:val="22"/>
          <w:szCs w:val="22"/>
        </w:rPr>
        <w:t xml:space="preserve">2026年8月26日，达梦数据披露2026年半年度报告。2026年上半年实现营业收入7.1281亿元，同比增长36.27%；实现归属于上市公司股东的净利润2.2102亿元，同比增长7.99%；扣除非经常性损益后的净利润为2.0913亿元，同比增长10.91%。报告未经审计。上半年研发投入1.6081亿元，同比增长43.90%，占营业收入比例为22.56%。公司披露2026年4月发布DM9、GDMBASE V4.0、达梦启云数据库V4.0及DAMENG PAI V2.0等产品。</w:t>
      </w:r>
    </w:p>
    <w:p>
      <w:pPr>
        <w:pStyle w:val="Heading2"/>
        <w:spacing w:after="120" w:before="240"/>
      </w:pPr>
      <w:r>
        <w:rPr>
          <w:b/>
          <w:bCs/>
          <w:color w:val="2E74B5"/>
          <w:sz w:val="24"/>
          <w:szCs w:val="24"/>
        </w:rPr>
        <w:t xml:space="preserve">4.2 半年度现金分红方案获股东会审议通过</w:t>
      </w:r>
    </w:p>
    <w:p>
      <w:pPr>
        <w:spacing w:after="160" w:line="300"/>
      </w:pPr>
      <w:r>
        <w:rPr>
          <w:sz w:val="22"/>
          <w:szCs w:val="22"/>
        </w:rPr>
        <w:t xml:space="preserve">2026年8月25日，董事会审议通过半年度利润分配方案，拟以实施权益分派登记日的总股本为基数，每10股派发现金红利7元，预计派发现金红利总额7926.8万元，占2026年上半年归母净利润的35.86%；不送红股、不进行资本公积金转增。2026年9月11日召开的2026年第三次临时股东会审议通过该方案，普通股表决权赞成比例为99.9182%。实际派息时间以后续权益分派实施公告为准。</w:t>
      </w:r>
    </w:p>
    <w:p>
      <w:pPr>
        <w:pStyle w:val="Heading2"/>
        <w:spacing w:after="120" w:before="240"/>
      </w:pPr>
      <w:r>
        <w:rPr>
          <w:b/>
          <w:bCs/>
          <w:color w:val="2E74B5"/>
          <w:sz w:val="24"/>
          <w:szCs w:val="24"/>
        </w:rPr>
        <w:t xml:space="preserve">4.3 中电金投及一致行动人持股比例升至25%</w:t>
      </w:r>
    </w:p>
    <w:p>
      <w:pPr>
        <w:spacing w:after="160" w:line="300"/>
      </w:pPr>
      <w:r>
        <w:rPr>
          <w:sz w:val="22"/>
          <w:szCs w:val="22"/>
        </w:rPr>
        <w:t xml:space="preserve">2026年7月28日，中电金投控股有限公司通过集中竞价增持达梦数据11,758股，增持后中电金投及其一致行动人中国软件与技术服务股份有限公司合计持股28,310,000股，占公司总股本比例由24.99%升至25.00%。该事项不触发要约收购，也不会导致公司实际控制人变化。</w:t>
      </w:r>
    </w:p>
    <w:p>
      <w:pPr>
        <w:pStyle w:val="Heading2"/>
        <w:spacing w:after="120" w:before="240"/>
      </w:pPr>
      <w:r>
        <w:rPr>
          <w:b/>
          <w:bCs/>
          <w:color w:val="2E74B5"/>
          <w:sz w:val="24"/>
          <w:szCs w:val="24"/>
        </w:rPr>
        <w:t xml:space="preserve">4.4 中电金投8月通过大宗交易继续增持</w:t>
      </w:r>
    </w:p>
    <w:p>
      <w:pPr>
        <w:spacing w:after="160" w:line="300"/>
      </w:pPr>
      <w:r>
        <w:rPr>
          <w:sz w:val="22"/>
          <w:szCs w:val="22"/>
        </w:rPr>
        <w:t xml:space="preserve">2026年8月6日，中电金投通过大宗交易增持达梦数据221.7万股，占公司总股本约1.9578%、流通股本约2.99%；成交均价约215.82元/股，成交金额约4.785亿元。增持后，中电金投及其一致行动人中国软件合计持股比例进一步上升。该笔交易主要通过大宗交易完成，具体交易对手方披露有限，后续持股比例以相关权益变动或股东持股公告为准。</w:t>
      </w:r>
    </w:p>
    <w:p>
      <w:pPr>
        <w:pStyle w:val="Heading2"/>
        <w:spacing w:after="120" w:before="240"/>
      </w:pPr>
      <w:r>
        <w:rPr>
          <w:b/>
          <w:bCs/>
          <w:color w:val="2E74B5"/>
          <w:sz w:val="24"/>
          <w:szCs w:val="24"/>
        </w:rPr>
        <w:t xml:space="preserve">4.5 2025年限制性股票激励计划启动预留部分授予</w:t>
      </w:r>
    </w:p>
    <w:p>
      <w:pPr>
        <w:spacing w:after="160" w:line="300"/>
      </w:pPr>
      <w:r>
        <w:rPr>
          <w:sz w:val="22"/>
          <w:szCs w:val="22"/>
        </w:rPr>
        <w:t xml:space="preserve">2026年8月26日，公司披露向2025年限制性股票激励计划激励对象授予预留限制性股票的相关公告。2026年8月27日至9月5日，公司对预留授予激励对象名单进行公示；2026年9月9日披露核查意见及公示情况说明，公示期内未收到员工异议。预留授予对象主要为公司及子公司的核心骨干人员及董事会认为需要激励的其他人员，不包括公司董事、高级管理人员、持股5%以上股东及实际控制人等。激励计划可能带来股份支付费用摊销压力，具体影响需以正式财务报告及授予数量、授予价格为准。</w:t>
      </w:r>
    </w:p>
    <w:p>
      <w:pPr>
        <w:pStyle w:val="Heading2"/>
        <w:spacing w:after="120" w:before="240"/>
      </w:pPr>
      <w:r>
        <w:rPr>
          <w:b/>
          <w:bCs/>
          <w:color w:val="2E74B5"/>
          <w:sz w:val="24"/>
          <w:szCs w:val="24"/>
        </w:rPr>
        <w:t xml:space="preserve">4.6 股东资格确认纠纷诉讼处于一审判决上诉期</w:t>
      </w:r>
    </w:p>
    <w:p>
      <w:pPr>
        <w:spacing w:after="160" w:line="300"/>
      </w:pPr>
      <w:r>
        <w:rPr>
          <w:sz w:val="22"/>
          <w:szCs w:val="22"/>
        </w:rPr>
        <w:t xml:space="preserve">2026年7月2日，公司披露股东资格确认纠纷诉讼进展。涉案金额为人民币5936.6925万元，公司为被告，案件处于一审判决阶段。一审判决涉及相关股份及现金分红、送股、转增股份等权益安排，达梦数据无需向原告支付款项，仅需承担司法鉴定费、鉴定人出庭费等合计7.0131万元。公司披露该判决尚未生效，仍处于上诉期，预计不会对公司本期或期后利润产生实质影响，但后续上诉、判决生效及股份处置情况仍存在不确定性。</w:t>
      </w:r>
    </w:p>
    <w:p>
      <w:pPr>
        <w:pStyle w:val="Heading2"/>
        <w:spacing w:after="120" w:before="240"/>
      </w:pPr>
      <w:r>
        <w:rPr>
          <w:b/>
          <w:bCs/>
          <w:color w:val="2E74B5"/>
          <w:sz w:val="24"/>
          <w:szCs w:val="24"/>
        </w:rPr>
        <w:t xml:space="preserve">4.7 持续推进提质增效、研发及投资者关系工作</w:t>
      </w:r>
    </w:p>
    <w:p>
      <w:pPr>
        <w:spacing w:after="160" w:line="300"/>
      </w:pPr>
      <w:r>
        <w:rPr>
          <w:sz w:val="22"/>
          <w:szCs w:val="22"/>
        </w:rPr>
        <w:t xml:space="preserve">2026年8月26日，公司披露2026年度“提质增效重回报”行动方案执行进展报告，称2026年上半年持续加大研发投入、推进产品迭代和市场拓展，并已实施2025年度每10股派10元现金分红，同时拟实施2026年半年度每10股派7元现金分红。2026年9月4日，公司举行2026年半年度业绩说明会，并于9月8日披露投资者关系活动记录表。公司还披露招商证券关于2026年半年度持续督导跟踪报告。</w:t>
      </w:r>
    </w:p>
    <w:p>
      <w:pPr>
        <w:pStyle w:val="Heading2"/>
        <w:spacing w:after="120" w:before="240"/>
      </w:pPr>
      <w:r>
        <w:rPr>
          <w:b/>
          <w:bCs/>
          <w:color w:val="2E74B5"/>
          <w:sz w:val="24"/>
          <w:szCs w:val="24"/>
        </w:rPr>
        <w:t xml:space="preserve">4.8 暂未检索到新的三季度业绩预告、股份回购或重大并购公告</w:t>
      </w:r>
    </w:p>
    <w:p>
      <w:pPr>
        <w:spacing w:after="160" w:line="300"/>
      </w:pPr>
      <w:r>
        <w:rPr>
          <w:sz w:val="22"/>
          <w:szCs w:val="22"/>
        </w:rPr>
        <w:t xml:space="preserve">截至2026年9月13日，暂未检索到公司针对2026年前三季度或2026年度发布新的业绩预告、业绩预增或业绩预减公告；暂未检索到公司在2026年7月至9月披露新的股份回购预案或回购实施公告；暂未检索到重大资产购买、出售、吸收合并或重大并购重组公告。近期股份变动主要来自中电金投及其一致行动人的增持。</w:t>
      </w:r>
    </w:p>
    <w:p>
      <w:pPr>
        <w:pStyle w:val="Heading2"/>
        <w:spacing w:after="120" w:before="240"/>
      </w:pPr>
      <w:r>
        <w:rPr>
          <w:b/>
          <w:bCs/>
          <w:color w:val="2E74B5"/>
          <w:sz w:val="24"/>
          <w:szCs w:val="24"/>
        </w:rPr>
        <w:t xml:space="preserve">4.9 近期未见新增重大负面监管事项</w:t>
      </w:r>
    </w:p>
    <w:p>
      <w:pPr>
        <w:spacing w:after="160" w:line="300"/>
      </w:pPr>
      <w:r>
        <w:rPr>
          <w:sz w:val="22"/>
          <w:szCs w:val="22"/>
        </w:rPr>
        <w:t xml:space="preserve">截至2026年9月13日，当前公开公告中未见监管处罚、立案调查、重大违法违规或交易所问询函等新增重大负面监管事项。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达梦数据（688692），上海证券交易所科创板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203.42元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下跌5.14元，跌幅约2.47%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206.21元/207.88元/202.18元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约806.05万股，约8.06万手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成交额及换手率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成交额约1.64亿元，换手率约1.09%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约230.35亿元/约150.87亿元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52周高点335.01元；52周低点约202.18—202.40元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近期阶段表现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2026年8月18日收盘价257.89元，至2026年9月11日收盘价203.42元，区间跌幅约21.1%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不同数据源显示约43.2—44.3倍，存在计算时点和盈利口径差异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约208.40元/210.15元/222.82元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现价低于5日、10日和20日均线，MA5低于MA10、MA10明显低于MA20，呈短中期偏空排列，反弹面临均线压制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-7.31，DEA -5.80，MACD柱 -3.00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DIF低于DEA，DIF和DEA均位于零轴下方，MACD柱为负，显示空方动能尚未完全消退；2026年9月11日精确值未公开披露</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RSI（截至2026年9月10日）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30.5，RSI12 36.3，RSI24 41.8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RSI6接近传统超卖区间，短线动能偏弱但并非极端超卖；RSI6较2026年9月3日的29.35有所回升，超卖状态有所缓解，但中期仍未进入强势区间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20日布林带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上轨约255.81元，中轨约222.82元，下轨约189.82元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现价位于布林中轨下方，距离下轨约13.60元、约高7.2%，股价明显偏离20日中枢但尚未触及重新测算的布林下轨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52周价格位置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现价较52周高点335.01元回撤约39.3%，接近52周低位约202.18—202.40元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股价处于52周区间明显偏低位置，短线具有超跌特征，但接近低位本身不等于趋势已经反转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最近10个交易日合计净流出约5万元；净流入日6天、净流出日4天；最近3个交易日连续净流出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近10日资金净额接近平衡，但短线转为连续净流出，尚未表现出持续、明确的主动介入特征；该口径按大单、超大单划分，不等同于真实机构身份或实际持仓变化</w:t>
            </w:r>
          </w:p>
        </w:tc>
      </w:tr>
    </w:tbl>
    <w:p>
      <w:pPr>
        <w:spacing w:before="200"/>
      </w:pPr>
    </w:p>
    <w:p>
      <w:pPr>
        <w:spacing w:after="160" w:line="300"/>
      </w:pPr>
      <w:r>
        <w:rPr>
          <w:sz w:val="22"/>
          <w:szCs w:val="22"/>
        </w:rPr>
        <w:t xml:space="preserve">截至2026年9月11日，达梦数据收盘价为203.42元，处于52周区间低位附近。股价自2026年8月18日收盘价257.89元回落至203.42元，近20个交易日跌幅约21.1%，中短期仍处于下降趋势。均线呈MA5低于MA10、MA10低于MA20的偏空排列，现价同时低于三条均线；MACD位于零轴下方且柱值为负，显示空方动能尚未完全消退。RSI6回升至30.5，短线超卖状态有所缓解，但尚不足以单独确认趋势反转。股价目前接近202元附近的近期及52周低位支撑，同时距离布林下轨约13.60元，后续重点观察202元附近支撑是否有效，以及能否放量收复208.5—213.5元压力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208.5~213.5元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对应MA5约208.40元、MA10约210.15元，以及近期208.18~209.05元收盘密集区、9月7日至9月8日高点215.00元和213.97元形成的压力带。若放量站上该区间，短线可观察215~220元区域；若缩量受阻，仍可能回到200~205元附近震荡。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201.5~204.0元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对应2026年9月11日最低价202.18元、收盘价203.42元及52周低位附近区域。若缩量企稳并重新收复205~208元，可能形成技术性反弹；若放量跌破201.5元，下方可观察195~200元区域。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189.5~193.5元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主要参考重新测算的布林下轨约189.82元及前一交易日布林下轨约191.89元。若该区间失守，可能打开向52周低位下方延伸的空间；若202元附近有效跌破，190元附近将成为下一档观察位置。</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整理（相对权重较高，约六成左右；该权重是基于当前技术面和资金流向的主观启发式判断，不是统计学概率）：观察区间约200~213元。触发条件为股价在201.5~204元附近获得承接，成交额维持约1亿~2亿元且未出现持续放量杀跌，同时未能有效站上210~213元、但暂未跌破200元整数关口。对应形态可能是200~210元区域反复震荡并伴随超跌反抽，但20日均线约222.82元仍构成上方压力。</w:t>
      </w:r>
    </w:p>
    <w:p>
      <w:pPr>
        <w:pStyle w:val="ListParagraph"/>
        <w:numPr>
          <w:ilvl w:val="0"/>
          <w:numId w:val="2"/>
        </w:numPr>
        <w:spacing w:after="80" w:line="280"/>
      </w:pPr>
      <w:r>
        <w:rPr>
          <w:sz w:val="22"/>
          <w:szCs w:val="22"/>
        </w:rPr>
        <w:t xml:space="preserve">偏弱下行（权重中等；该判断为基于当前技术指标和资金流向的主观启发式权重，不是统计学概率）：观察区间约190~202元。触发条件为收盘价有效跌破201.5~202元，且跌破时成交额明显高于近期约1亿~1.6亿元的低量水平、达到2亿元以上，同时MACD绿柱继续扩大、RSI6重新跌破30。若202元附近低点被放量击穿，价格可能向195~200元区域寻找支撑，并进一步靠近布林下轨约190元。</w:t>
      </w:r>
    </w:p>
    <w:p>
      <w:pPr>
        <w:pStyle w:val="ListParagraph"/>
        <w:numPr>
          <w:ilvl w:val="0"/>
          <w:numId w:val="2"/>
        </w:numPr>
        <w:spacing w:after="80" w:line="280"/>
      </w:pPr>
      <w:r>
        <w:rPr>
          <w:sz w:val="22"/>
          <w:szCs w:val="22"/>
        </w:rPr>
        <w:t xml:space="preserve">反弹走强（权重偏低至中等；该判断为基于当前均线空头排列、MACD位置和量能条件的主观启发式权重，不是统计学概率）：观察区间约210~220元，强势情况下观察220~225元。触发条件为股价重新站上208.5~210.5元，随后突破213.5~215元压力区，且成交额连续放大至约2.5亿元以上；计算机或国产数据库板块同步走强，或出现改善市场预期的公司公告、行业政策或订单信息，也可能增强该情景。若放量站稳210~213元，可观察215~220元区域；若进一步突破220元，则可观察MA20约222.8元附近，但在MACD仍位于零轴下方、MA5和MA10低于MA20的背景下，首先应视为技术性修复，不能直接视为中期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可核实的单日换手率为1.09%，成交额约1.64亿元；9月10日换手率为0.61%，成交额约0.93亿元，近期成交额主要在约0.9亿~2.4亿元之间，个别大波动日达到3亿~5亿元以上。股东结构数据截至2026年6月30日：前十大流通股东累计持有约3,883.22万股，占流通股约52.37%；同花顺披露的主力机构持仓约4,358.59万股，占流通A股约58.77%，较2025年12月31日减少约253.18万股，其中基金净减仓37家。前十大流通股东中既有中国软件、中电金投等国有法人和产业资本，也有基金及其他机构投资者。上述股东和机构持仓数据属于2026年6月30日季度末快照，距离2026年9月11日已有两个多月，期间持仓可能发生变化，不能直接视为实时筹码结构。实践上，低换手和成交额下降时，价格对少量主动买卖盘可能较敏感，盘口深度和短线承接力度需要关注；若下跌时成交额持续放大，说明卖压可能由被动调整转向主动兑现。</w:t>
      </w:r>
    </w:p>
    <w:p>
      <w:pPr>
        <w:spacing w:after="160" w:line="300"/>
      </w:pPr>
      <w:r>
        <w:rPr>
          <w:sz w:val="22"/>
          <w:szCs w:val="22"/>
        </w:rPr>
        <w:t xml:space="preserve">可核查的量能确认信号是：若单日成交额连续两日达到约2.5亿元以上，同时收盘价站上210~213元压力区，可作为资金参与度改善的观察信号；若跌破202元时成交额同步显著放大，则下行风险增强。该阈值依据近期约0.9亿~3.8亿元的自身成交额区间设定，不是统计学概率结论，也不是交易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观察202~204元支撑是否有效；若跌破，进一步关注195~200元及190~193元区域。</w:t>
      </w:r>
    </w:p>
    <w:p>
      <w:pPr>
        <w:pStyle w:val="ListParagraph"/>
        <w:numPr>
          <w:ilvl w:val="0"/>
          <w:numId w:val="2"/>
        </w:numPr>
        <w:spacing w:after="80" w:line="280"/>
      </w:pPr>
      <w:r>
        <w:rPr>
          <w:sz w:val="22"/>
          <w:szCs w:val="22"/>
        </w:rPr>
        <w:t xml:space="preserve">观察208.5~213.5元压力区能否在成交额连续放大至约2.5亿元以上的情况下突破。</w:t>
      </w:r>
    </w:p>
    <w:p>
      <w:pPr>
        <w:pStyle w:val="ListParagraph"/>
        <w:numPr>
          <w:ilvl w:val="0"/>
          <w:numId w:val="2"/>
        </w:numPr>
        <w:spacing w:after="80" w:line="280"/>
      </w:pPr>
      <w:r>
        <w:rPr>
          <w:sz w:val="22"/>
          <w:szCs w:val="22"/>
        </w:rPr>
        <w:t xml:space="preserve">观察MACD负柱是否收窄、DIF是否向上靠近DEA，以及RSI6能否稳定回到35以上。</w:t>
      </w:r>
    </w:p>
    <w:p>
      <w:pPr>
        <w:pStyle w:val="ListParagraph"/>
        <w:numPr>
          <w:ilvl w:val="0"/>
          <w:numId w:val="2"/>
        </w:numPr>
        <w:spacing w:after="80" w:line="280"/>
      </w:pPr>
      <w:r>
        <w:rPr>
          <w:sz w:val="22"/>
          <w:szCs w:val="22"/>
        </w:rPr>
        <w:t xml:space="preserve">观察主力资金是否结束连续净流出，并与成交额连续达到约2.5亿元以上相互验证。以上均为观察思路，非操作指令。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数据库行业属于技术密集、人才密集、客户认证周期长且生态壁垒较高的基础软件行业。数据库位于IT产业链中间环节，上接CPU、服务器、存储、操作系统和中间件，下接应用软件及行业信息系统，是信创产业链的重要基础软件环节。</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行业竞争者主要包括传统数据库厂商、云厂商数据库、海外数据库厂商，以及新兴分布式和开源生态厂商。</w:t>
      </w:r>
    </w:p>
    <w:p>
      <w:pPr>
        <w:pStyle w:val="ListParagraph"/>
        <w:numPr>
          <w:ilvl w:val="0"/>
          <w:numId w:val="2"/>
        </w:numPr>
        <w:spacing w:after="80" w:line="280"/>
      </w:pPr>
      <w:r>
        <w:rPr>
          <w:sz w:val="22"/>
          <w:szCs w:val="22"/>
        </w:rPr>
        <w:t xml:space="preserve">传统数据库厂商包括达梦数据、电科金仓、南大通用、神舟通用、海量数据、瀚高数据库等，主要覆盖关系型数据库、集中式数据库和行业数据库。</w:t>
      </w:r>
    </w:p>
    <w:p>
      <w:pPr>
        <w:pStyle w:val="ListParagraph"/>
        <w:numPr>
          <w:ilvl w:val="0"/>
          <w:numId w:val="2"/>
        </w:numPr>
        <w:spacing w:after="80" w:line="280"/>
      </w:pPr>
      <w:r>
        <w:rPr>
          <w:sz w:val="22"/>
          <w:szCs w:val="22"/>
        </w:rPr>
        <w:t xml:space="preserve">云厂商数据库包括华为云GaussDB、阿里云PolarDB及OceanBase、腾讯云TDSQL、百度智能云数据库等，在公有云、云原生、分布式和弹性计算领域具备基础设施或客户流量优势。</w:t>
      </w:r>
    </w:p>
    <w:p>
      <w:pPr>
        <w:pStyle w:val="ListParagraph"/>
        <w:numPr>
          <w:ilvl w:val="0"/>
          <w:numId w:val="2"/>
        </w:numPr>
        <w:spacing w:after="80" w:line="280"/>
      </w:pPr>
      <w:r>
        <w:rPr>
          <w:sz w:val="22"/>
          <w:szCs w:val="22"/>
        </w:rPr>
        <w:t xml:space="preserve">海外厂商包括Oracle、微软SQL Server、IBM、SAP等，在大型企业核心系统中仍具备产品、生态和客户基础优势。</w:t>
      </w:r>
    </w:p>
    <w:p>
      <w:pPr>
        <w:pStyle w:val="ListParagraph"/>
        <w:numPr>
          <w:ilvl w:val="0"/>
          <w:numId w:val="2"/>
        </w:numPr>
        <w:spacing w:after="80" w:line="280"/>
      </w:pPr>
      <w:r>
        <w:rPr>
          <w:sz w:val="22"/>
          <w:szCs w:val="22"/>
        </w:rPr>
        <w:t xml:space="preserve">新兴分布式和开源生态厂商包括PingCAP、巨杉数据库、创意信息旗下相关数据库业务及其他基于开源数据库商业化服务的厂商，重点竞争分布式、云原生、实时分析和互联网业务场景。</w:t>
      </w:r>
    </w:p>
    <w:p>
      <w:pPr>
        <w:pStyle w:val="ListParagraph"/>
        <w:numPr>
          <w:ilvl w:val="0"/>
          <w:numId w:val="2"/>
        </w:numPr>
        <w:spacing w:after="80" w:line="280"/>
      </w:pPr>
      <w:r>
        <w:rPr>
          <w:sz w:val="22"/>
          <w:szCs w:val="22"/>
        </w:rPr>
        <w:t xml:space="preserve">公开行业研究数据显示，2024年中国关系型数据库约占中国数据库市场的76%；本地部署关系型数据库市场CR10约45%，华为云约12.8%、达梦数据约8.1%、腾讯云约4.0%、奥星贝斯约3.5%、电科金仓约3.4%。该数据受统计口径、部署方式及收入或使用量口径影响，不能直接视为统一口径的公司市场份额。</w:t>
      </w:r>
    </w:p>
    <w:p>
      <w:pPr>
        <w:pStyle w:val="ListParagraph"/>
        <w:numPr>
          <w:ilvl w:val="0"/>
          <w:numId w:val="2"/>
        </w:numPr>
        <w:spacing w:after="80" w:line="280"/>
      </w:pPr>
      <w:r>
        <w:rPr>
          <w:sz w:val="22"/>
          <w:szCs w:val="22"/>
        </w:rPr>
        <w:t xml:space="preserve">公司2025年半年度报告引用IDC数据称，达梦数据以13.48%的市场份额位居2024年金融行业集中式事务型数据库国产厂商市场份额第一。该数据仅对应金融行业、集中式、事务型数据库细分口径，不应外推至整个中国数据库市场。</w:t>
      </w:r>
    </w:p>
    <w:p>
      <w:pPr>
        <w:pStyle w:val="ListParagraph"/>
        <w:numPr>
          <w:ilvl w:val="0"/>
          <w:numId w:val="2"/>
        </w:numPr>
        <w:spacing w:after="80" w:line="280"/>
      </w:pPr>
      <w:r>
        <w:rPr>
          <w:sz w:val="22"/>
          <w:szCs w:val="22"/>
        </w:rPr>
        <w:t xml:space="preserve">数据库行业仍存在集中式、分布式、云数据库、本地部署、公有云和行业市场等多种分类口径，各厂商竞争强弱需结合具体应用场景判断。</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电科金仓（KingbaseES）</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国产集中式关系型数据库和信创项目直接竞争者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重点覆盖党政、金融、医疗、交通等行业，优势在于行业覆盖、信创生态和渠道体系。</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南大通用（GBase）</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集中式、分布式及分析型数据库厂商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在分析型数据库、数据仓库、金融和运营商场景具有较强积累，与达梦相比在大规模数据分析场景的差异化更明显。</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海量数据（603138.SH）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数据库产品、数据库技术服务及数据基础设施解决方案提供商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与达梦存在数据库软件和服务的直接可比关系，但业务中包含更多服务、解决方案和基础设施内容，整体毛利率通常低于达梦数据。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华为云GaussDB</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云数据库、分布式数据库及软硬件协同平台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同时具备数据库软件、云平台、服务器、芯片和操作系统等上下游资源；与达梦既有竞争关系，也可能在国产IT生态适配中形成合作。</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OceanBase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分布式关系型数据库、金融级高并发和互联网核心业务数据库</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在分布式架构和云原生生态方面更突出，近年来向政企、金融和运营商市场扩展；与达梦的比较属于产品定位层面的定性判断，缺乏完全统一的市场份额口径。</w:t>
            </w:r>
          </w:p>
        </w:tc>
      </w:tr>
    </w:tbl>
    <w:p>
      <w:pPr>
        <w:spacing w:before="200"/>
      </w:pPr>
    </w:p>
    <w:p>
      <w:pPr>
        <w:spacing w:after="160" w:line="300"/>
      </w:pPr>
      <w:r>
        <w:rPr>
          <w:sz w:val="22"/>
          <w:szCs w:val="22"/>
        </w:rPr>
        <w:t xml:space="preserve">达梦数据在国产本地部署关系型数据库及金融行业集中式事务型数据库等细分领域处于头部阵营，核心竞争力来自标准化数据库软件、国产化替代经验、党政及大型行业客户积累、生态适配和较高的软件授权毛利率。相较云厂商，公司的云平台及上下游软硬件协同资源相对有限；相较服务和基础设施型数据库企业，公司软件授权占比更高、毛利率更高；相较分布式和云原生厂商，公司在传统集中式数据库、国产化替代和大型行业项目中积累更深。市场份额数据来自不同第三方研究资料，统计范围和口径并不统一，不能据此对各厂商进行跨口径的简单排序。</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客户集中度较高：2025年前五大客户销售额占营业收入48.11%，前两大客户合计约41.60%；大型政企客户的采购节奏、预算安排、招投标结果或项目验收延期，可能对公司收入确认和经营现金流产生较大影响。</w:t>
      </w:r>
    </w:p>
    <w:p>
      <w:pPr>
        <w:pStyle w:val="ListParagraph"/>
        <w:numPr>
          <w:ilvl w:val="0"/>
          <w:numId w:val="2"/>
        </w:numPr>
        <w:spacing w:after="80" w:line="280"/>
      </w:pPr>
      <w:r>
        <w:rPr>
          <w:sz w:val="22"/>
          <w:szCs w:val="22"/>
        </w:rPr>
        <w:t xml:space="preserve">应收账款及回款风险：截至2025年12月31日，应收账款约5.09亿元，约占2025年主营业务收入39.1%，应收账款周转天数约126.7天；若大客户回款放缓、账龄延长或合同验收推迟，可能增加营运资金占用及信用减值压力。</w:t>
      </w:r>
    </w:p>
    <w:p>
      <w:pPr>
        <w:pStyle w:val="ListParagraph"/>
        <w:numPr>
          <w:ilvl w:val="0"/>
          <w:numId w:val="2"/>
        </w:numPr>
        <w:spacing w:after="80" w:line="280"/>
      </w:pPr>
      <w:r>
        <w:rPr>
          <w:sz w:val="22"/>
          <w:szCs w:val="22"/>
        </w:rPr>
        <w:t xml:space="preserve">利润增速低于收入增速的风险：2026年上半年营业收入同比增长36.27%，但归母净利润仅增长7.99%；股份支付费用以及销售、研发、管理费用分别较快增长，若费用投入持续快于收入和毛利增长，报表利润率可能继续承压。</w:t>
      </w:r>
    </w:p>
    <w:p>
      <w:pPr>
        <w:pStyle w:val="ListParagraph"/>
        <w:numPr>
          <w:ilvl w:val="0"/>
          <w:numId w:val="2"/>
        </w:numPr>
        <w:spacing w:after="80" w:line="280"/>
      </w:pPr>
      <w:r>
        <w:rPr>
          <w:sz w:val="22"/>
          <w:szCs w:val="22"/>
        </w:rPr>
        <w:t xml:space="preserve">经营现金流波动风险：2026年上半年经营活动现金流量净额为451.34万元，同比下降52.86%，明显弱于收入增长；项目型业务占比、应收账款回款和验收进度变化，可能导致利润与现金流进一步背离。</w:t>
      </w:r>
    </w:p>
    <w:p>
      <w:pPr>
        <w:pStyle w:val="ListParagraph"/>
        <w:numPr>
          <w:ilvl w:val="0"/>
          <w:numId w:val="2"/>
        </w:numPr>
        <w:spacing w:after="80" w:line="280"/>
      </w:pPr>
      <w:r>
        <w:rPr>
          <w:sz w:val="22"/>
          <w:szCs w:val="22"/>
        </w:rPr>
        <w:t xml:space="preserve">业务结构和毛利率变化风险：软件授权业务毛利率约99.73%，但数据库一体机、数据及行业解决方案、运维与技术服务毛利率分别约38.75%、42.10%和57.92%；若低毛利业务放量而软件授权增速不足，综合毛利率和盈利能力可能下降。</w:t>
      </w:r>
    </w:p>
    <w:p>
      <w:pPr>
        <w:pStyle w:val="ListParagraph"/>
        <w:numPr>
          <w:ilvl w:val="0"/>
          <w:numId w:val="2"/>
        </w:numPr>
        <w:spacing w:after="80" w:line="280"/>
      </w:pPr>
      <w:r>
        <w:rPr>
          <w:sz w:val="22"/>
          <w:szCs w:val="22"/>
        </w:rPr>
        <w:t xml:space="preserve">研发及产品商业化风险：公司已发布DM9、GDMBASE V4.0、达梦启云数据库V4.0和DAMENG PAI V2.0等产品，但新产品能否完成客户认证、生态适配并形成持续收入仍需验证；若在分布式、云原生或AI数据库场景推进不及预期，可能影响后续增长曲线。</w:t>
      </w:r>
    </w:p>
    <w:p>
      <w:pPr>
        <w:pStyle w:val="ListParagraph"/>
        <w:numPr>
          <w:ilvl w:val="0"/>
          <w:numId w:val="2"/>
        </w:numPr>
        <w:spacing w:after="80" w:line="280"/>
      </w:pPr>
      <w:r>
        <w:rPr>
          <w:sz w:val="22"/>
          <w:szCs w:val="22"/>
        </w:rPr>
        <w:t xml:space="preserve">竞争加剧风险：公司同时面临电科金仓、南大通用、海量数据、华为云GaussDB、OceanBase以及海外数据库厂商等竞争；云厂商在云平台、服务器、芯片和操作系统等方面具备协同优势，可能对公司的云数据库拓展、项目获取和定价能力形成压力。</w:t>
      </w:r>
    </w:p>
    <w:p>
      <w:pPr>
        <w:pStyle w:val="ListParagraph"/>
        <w:numPr>
          <w:ilvl w:val="0"/>
          <w:numId w:val="2"/>
        </w:numPr>
        <w:spacing w:after="80" w:line="280"/>
      </w:pPr>
      <w:r>
        <w:rPr>
          <w:sz w:val="22"/>
          <w:szCs w:val="22"/>
        </w:rPr>
        <w:t xml:space="preserve">股份支付与股权激励风险：2026年启动2025年限制性股票激励计划预留部分授予，相关股份支付费用可能继续影响利润增速，具体影响取决于正式授予数量、授予价格及后续摊销安排。</w:t>
      </w:r>
    </w:p>
    <w:p>
      <w:pPr>
        <w:pStyle w:val="ListParagraph"/>
        <w:numPr>
          <w:ilvl w:val="0"/>
          <w:numId w:val="2"/>
        </w:numPr>
        <w:spacing w:after="80" w:line="280"/>
      </w:pPr>
      <w:r>
        <w:rPr>
          <w:sz w:val="22"/>
          <w:szCs w:val="22"/>
        </w:rPr>
        <w:t xml:space="preserve">估值和股价波动风险：截至2026年9月11日，公司TTM市盈率约43.2—44.3倍，股价较8月18日回落约21.1%，技术指标呈偏空排列；若业绩兑现不及机构预测、费用和现金流压力延续，较高估值可能放大股价波动。</w:t>
      </w:r>
    </w:p>
    <w:p>
      <w:pPr>
        <w:pStyle w:val="ListParagraph"/>
        <w:numPr>
          <w:ilvl w:val="0"/>
          <w:numId w:val="2"/>
        </w:numPr>
        <w:spacing w:after="80" w:line="280"/>
      </w:pPr>
      <w:r>
        <w:rPr>
          <w:sz w:val="22"/>
          <w:szCs w:val="22"/>
        </w:rPr>
        <w:t xml:space="preserve">诉讼及股东权益安排不确定性：股东资格确认纠纷涉案金额为5936.6925万元，一审判决尚未生效且处于上诉期；虽然公司披露预计不会对本期或期后利润产生实质影响，但后续上诉、判决生效及相关股份处置仍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达梦数据的中长期增长逻辑主要包括国产数据库替代、党政及金融能源等核心行业渗透、标准化数据库授权规模扩大，以及DM9、云数据库、分布式产品和AI+数据库产品的商业化。公司软件授权占比高、边际成本低、毛利率高，且数据库进入客户核心生产系统后替换成本较高，这些因素有利于形成客户黏性和规模效应。中电金投及其一致行动人近期增持，也反映产业资本持股比例有所提升。</w:t>
      </w:r>
    </w:p>
    <w:p>
      <w:pPr>
        <w:spacing w:after="160" w:line="300"/>
      </w:pPr>
      <w:r>
        <w:rPr>
          <w:sz w:val="22"/>
          <w:szCs w:val="22"/>
        </w:rPr>
        <w:t xml:space="preserve">短期业绩质量仍需观察股份支付费用、销售及研发投入增长、项目验收和大客户回款的变化。2026年上半年收入增长较快但归母净利润增速较低，经营现金流同比下降；若一体机、行业解决方案等低毛利业务占比提升，或核心软件授权增速放缓，利润弹性可能低于市场预期。机构预测显示2026—2028年利润仍有较高增长预期，但这些预测并非公司官方指引，且不同机构预测区间较宽。</w:t>
      </w:r>
    </w:p>
    <w:p>
      <w:pPr>
        <w:spacing w:after="160" w:line="300"/>
      </w:pPr>
      <w:r>
        <w:rPr>
          <w:sz w:val="22"/>
          <w:szCs w:val="22"/>
        </w:rPr>
        <w:t xml:space="preserve">在估值和市场表现层面，公司当前约43倍TTM市盈率、约5.9倍市净率，股价又处于近期低位，未来表现将取决于业绩兑现、费用和现金流改善以及新产品放量情况。技术上，202—204元附近支撑、208.5—213.5元压力区及成交量能变化，是判断短期弱势震荡能否改善的观察因素，但技术指标不能单独确认中期趋势反转。</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公司代码：688692                                公司简称：达梦数据 — https://www.sse.com.cn/disclosure/listedinfo/announcement/c/new/2024-08-29/688692_20240829_WM26.pdf?utm_source=openai</w:t>
      </w:r>
    </w:p>
    <w:p>
      <w:pPr>
        <w:spacing w:after="200"/>
      </w:pPr>
      <w:r>
        <w:rPr>
          <w:i/>
          <w:iCs/>
          <w:color w:val="595959"/>
          <w:sz w:val="18"/>
          <w:szCs w:val="18"/>
        </w:rPr>
        <w:t xml:space="preserve">https://file.finance.sina.com.cn/211.154.219.97%3A9494/MRGG/CNSESH_STOCK/2025/2025-8/2025-08-28/11389237.PDF — https://file.finance.sina.com.cn/211.154.219.97%3A9494/MRGG/CNSESH_STOCK/2025/2025-8/2025-08-28/11389237.PDF</w:t>
      </w:r>
    </w:p>
    <w:p>
      <w:pPr>
        <w:spacing w:after="200"/>
      </w:pPr>
      <w:r>
        <w:rPr>
          <w:i/>
          <w:iCs/>
          <w:color w:val="595959"/>
          <w:sz w:val="18"/>
          <w:szCs w:val="18"/>
        </w:rPr>
        <w:t xml:space="preserve">达梦数据(688692)_公司公告_达梦数据：2025年年度报告新浪财经_新浪网 — https://money.finance.sina.com.cn/corp/view/vCB_AllBulletinDetail.php?id=12079584&amp;stockid=688692&amp;utm_source=openai</w:t>
      </w:r>
    </w:p>
    <w:p>
      <w:pPr>
        <w:spacing w:after="200"/>
      </w:pPr>
      <w:r>
        <w:rPr>
          <w:i/>
          <w:iCs/>
          <w:color w:val="595959"/>
          <w:sz w:val="18"/>
          <w:szCs w:val="18"/>
        </w:rPr>
        <w:t xml:space="preserve">达梦数据(688692)_公司公告_达梦数据：2025年年度报告新浪财经_新浪网 — https://vip.stock.finance.sina.com.cn/corp/view/vCB_AllBulletinDetail.php?CompanyCode=80127418&amp;gather=1&amp;id=12079584&amp;utm_source=openai</w:t>
      </w:r>
    </w:p>
    <w:p>
      <w:pPr>
        <w:spacing w:after="200"/>
      </w:pPr>
      <w:r>
        <w:rPr>
          <w:i/>
          <w:iCs/>
          <w:color w:val="595959"/>
          <w:sz w:val="18"/>
          <w:szCs w:val="18"/>
        </w:rPr>
        <w:t xml:space="preserve">达梦数据(688692)A股财报-Publicly traded company — https://market.weidn.com/cn/company/a/688692/?utm_source=openai</w:t>
      </w:r>
    </w:p>
    <w:p>
      <w:pPr>
        <w:spacing w:after="200"/>
      </w:pPr>
      <w:r>
        <w:rPr>
          <w:i/>
          <w:iCs/>
          <w:color w:val="595959"/>
          <w:sz w:val="18"/>
          <w:szCs w:val="18"/>
        </w:rPr>
        <w:t xml:space="preserve">达梦数据(688692)财务指标_新浪财经_新浪网 — https://money.finance.sina.com.cn/corp/go.php/vFD_FinancialGuideLine/stockid/688692/ctrl/2025/displaytype/4.phtml?utm_source=openai</w:t>
      </w:r>
    </w:p>
    <w:p>
      <w:pPr>
        <w:spacing w:after="200"/>
      </w:pPr>
      <w:r>
        <w:rPr>
          <w:i/>
          <w:iCs/>
          <w:color w:val="595959"/>
          <w:sz w:val="18"/>
          <w:szCs w:val="18"/>
        </w:rPr>
        <w:t xml:space="preserve">达梦数据(SH688692) - A股 - Holdle — https://www.holdle.com/stocks/SH688692?utm_source=openai</w:t>
      </w:r>
    </w:p>
    <w:p>
      <w:pPr>
        <w:spacing w:after="200"/>
      </w:pPr>
      <w:r>
        <w:rPr>
          <w:i/>
          <w:iCs/>
          <w:color w:val="595959"/>
          <w:sz w:val="18"/>
          <w:szCs w:val="18"/>
        </w:rPr>
        <w:t xml:space="preserve">达梦数据：坚持原始创新 致力于成为全栈数据产品及解决方案顶尖提供商 — https://stock.10jqka.com.cn/20240531/c658388384.shtml?utm_source=openai</w:t>
      </w:r>
    </w:p>
    <w:p>
      <w:pPr>
        <w:spacing w:after="200"/>
      </w:pPr>
      <w:r>
        <w:rPr>
          <w:i/>
          <w:iCs/>
          <w:color w:val="595959"/>
          <w:sz w:val="18"/>
          <w:szCs w:val="18"/>
        </w:rPr>
        <w:t xml:space="preserve">武汉达梦数据库股份有限公司2024年年度报告 — https://file.finance.sina.com.cn/211.154.219.97%3A9494/MRGG/CNSESH_STOCK/2025/2025-4/2025-04-15/10873546.PDF</w:t>
      </w:r>
    </w:p>
    <w:p>
      <w:pPr>
        <w:spacing w:after="200"/>
      </w:pPr>
      <w:r>
        <w:rPr>
          <w:i/>
          <w:iCs/>
          <w:color w:val="595959"/>
          <w:sz w:val="18"/>
          <w:szCs w:val="18"/>
        </w:rPr>
        <w:t xml:space="preserve">20250614 第一新声智库 2025年中国数据库市场研究报告 | PDF — https://www.scribd.com/document/1017900210/20250614-%E7%AC%AC%E4%B8%80%E6%96%B0%E5%A3%B0%E6%99%BA%E5%BA%93-2025%E5%B9%B4%E4%B8%AD%E5%9B%BD%E6%95%B0%E6%8D%AE%E5%BA%93%E5%B8%82%E5%9C%BA%E7%A0%94%E7%A9%B6%E6%8A%A5%E5%91%8A?utm_source=openai</w:t>
      </w:r>
    </w:p>
    <w:p>
      <w:pPr>
        <w:spacing w:after="200"/>
      </w:pPr>
      <w:r>
        <w:rPr>
          <w:i/>
          <w:iCs/>
          <w:color w:val="595959"/>
          <w:sz w:val="18"/>
          <w:szCs w:val="18"/>
        </w:rPr>
        <w:t xml:space="preserve">2025年中国数据库管理系统（DBMS）行业发展背景、市场规模、企业格局及未来趋势研判：DBMS市场规模超370亿元，行业集中度较低，国产企业市占率提升[图]_智研咨询 — https://www.chyxx.com/industry/1242648.html?utm_source=openai</w:t>
      </w:r>
    </w:p>
    <w:p>
      <w:pPr>
        <w:spacing w:after="200"/>
      </w:pPr>
      <w:r>
        <w:rPr>
          <w:i/>
          <w:iCs/>
          <w:color w:val="595959"/>
          <w:sz w:val="18"/>
          <w:szCs w:val="18"/>
        </w:rPr>
        <w:t xml:space="preserve">海量数据(603138)_公司公告_海量数据：关于北京海量数据技术股份有限公司向特定对象发行股票申请文件的审核问询函的回复(2026年半年度财务数据更新版)新浪财经_新浪网 — https://vip.stock.finance.sina.com.cn/corp/view/vCB_AllBulletinDetail.php?id=12582569&amp;stockid=603138&amp;utm_source=openai</w:t>
      </w:r>
    </w:p>
    <w:p>
      <w:pPr>
        <w:spacing w:after="200"/>
      </w:pPr>
      <w:r>
        <w:rPr>
          <w:i/>
          <w:iCs/>
          <w:color w:val="595959"/>
          <w:sz w:val="18"/>
          <w:szCs w:val="18"/>
        </w:rPr>
        <w:t xml:space="preserve">计算机行业 2025 年中期投资策略 — https://pdf.dfcfw.com/pdf/H3_AP202506171692623675_1.pdf?1750180457000.pdf=&amp;utm_source=openai</w:t>
      </w:r>
    </w:p>
    <w:p>
      <w:pPr>
        <w:spacing w:after="200"/>
      </w:pPr>
      <w:r>
        <w:rPr>
          <w:i/>
          <w:iCs/>
          <w:color w:val="595959"/>
          <w:sz w:val="18"/>
          <w:szCs w:val="18"/>
        </w:rPr>
        <w:t xml:space="preserve">[未知机构]：国产数据库行业专家交流纪要202406201国产数据库市场现状 - 发现报告 — https://www.fxbaogao.com/detail/4358012?utm_source=openai</w:t>
      </w:r>
    </w:p>
    <w:p>
      <w:pPr>
        <w:spacing w:after="200"/>
      </w:pPr>
      <w:r>
        <w:rPr>
          <w:i/>
          <w:iCs/>
          <w:color w:val="595959"/>
          <w:sz w:val="18"/>
          <w:szCs w:val="18"/>
        </w:rPr>
        <w:t xml:space="preserve">达梦数据(688692)_公司公告_达梦数据：2026年半年度报告新浪财经_新浪网 — https://vip.stock.finance.sina.com.cn/corp/view/vCB_AllBulletinDetail.php?id=12539297&amp;stockid=688692</w:t>
      </w:r>
    </w:p>
    <w:p>
      <w:pPr>
        <w:spacing w:after="200"/>
      </w:pPr>
      <w:r>
        <w:rPr>
          <w:i/>
          <w:iCs/>
          <w:color w:val="595959"/>
          <w:sz w:val="18"/>
          <w:szCs w:val="18"/>
        </w:rPr>
        <w:t xml:space="preserve">达梦数据2026年半年度报告：营收超7亿，归母净利润2.21亿_财经频道_证券之星 — https://finance.stockstar.com/IG2026082600029166.shtml?utm_source=openai</w:t>
      </w:r>
    </w:p>
    <w:p>
      <w:pPr>
        <w:spacing w:after="200"/>
      </w:pPr>
      <w:r>
        <w:rPr>
          <w:i/>
          <w:iCs/>
          <w:color w:val="595959"/>
          <w:sz w:val="18"/>
          <w:szCs w:val="18"/>
        </w:rPr>
        <w:t xml:space="preserve">达梦数据2025年报解读：扣非净利增49.66% 研发投入超2.5亿元|费用_新浪财经_新浪网 — https://finance.sina.com.cn/stock/aigc/stockfs/2026-04-10/doc-inhtznzt5056103.shtml?utm_source=openai</w:t>
      </w:r>
    </w:p>
    <w:p>
      <w:pPr>
        <w:spacing w:after="200"/>
      </w:pPr>
      <w:r>
        <w:rPr>
          <w:i/>
          <w:iCs/>
          <w:color w:val="595959"/>
          <w:sz w:val="18"/>
          <w:szCs w:val="18"/>
        </w:rPr>
        <w:t xml:space="preserve">达梦数据(688692) 盈利预测_F10_同花顺金融服务网 — https://basic.10jqka.com.cn/688692/worth.html</w:t>
      </w:r>
    </w:p>
    <w:p>
      <w:pPr>
        <w:spacing w:after="200"/>
      </w:pPr>
      <w:r>
        <w:rPr>
          <w:i/>
          <w:iCs/>
          <w:color w:val="595959"/>
          <w:sz w:val="18"/>
          <w:szCs w:val="18"/>
        </w:rPr>
        <w:t xml:space="preserve">盈利预测 — https://webf10.gw.com.cn/SH/B16/SH688692_B16.html</w:t>
      </w:r>
    </w:p>
    <w:p>
      <w:pPr>
        <w:spacing w:after="200"/>
      </w:pPr>
      <w:r>
        <w:rPr>
          <w:i/>
          <w:iCs/>
          <w:color w:val="595959"/>
          <w:sz w:val="18"/>
          <w:szCs w:val="18"/>
        </w:rPr>
        <w:t xml:space="preserve">达梦数据(688692)：25年业绩高增长 发布DM9面向AI时代__新浪财经_新浪网 — https://stock.finance.sina.com.cn/stock/go.php/vReport_Show/kind/search/rptid/830310008010/index.phtml?utm_source=openai</w:t>
      </w:r>
    </w:p>
    <w:p>
      <w:pPr>
        <w:spacing w:after="200"/>
      </w:pPr>
      <w:r>
        <w:rPr>
          <w:i/>
          <w:iCs/>
          <w:color w:val="595959"/>
          <w:sz w:val="18"/>
          <w:szCs w:val="18"/>
        </w:rPr>
        <w:t xml:space="preserve">华创证券:《达梦数据（688692）2026年半年报点评：强推（维持）业绩符合预期，AI+DB开启新成长曲线》-发现报告 — https://www.fxbaogao.com/detail/5666010?utm_source=openai</w:t>
      </w:r>
    </w:p>
    <w:p>
      <w:pPr>
        <w:spacing w:after="200"/>
      </w:pPr>
      <w:r>
        <w:rPr>
          <w:i/>
          <w:iCs/>
          <w:color w:val="595959"/>
          <w:sz w:val="18"/>
          <w:szCs w:val="18"/>
        </w:rPr>
        <w:t xml:space="preserve">机构评级|中金公司给予达梦数据“跑赢行业”评级 — https://stock.10jqka.com.cn/20260427/c676301231.shtml?utm_source=openai</w:t>
      </w:r>
    </w:p>
    <w:p>
      <w:pPr>
        <w:spacing w:after="200"/>
      </w:pPr>
      <w:r>
        <w:rPr>
          <w:i/>
          <w:iCs/>
          <w:color w:val="595959"/>
          <w:sz w:val="18"/>
          <w:szCs w:val="18"/>
        </w:rPr>
        <w:t xml:space="preserve">达梦数据 (688692)股票预测和分析师评级 - 富途牛牛 — https://www.futunn.com/stock/688692-SH/forecast?utm_source=openai</w:t>
      </w:r>
    </w:p>
    <w:p>
      <w:pPr>
        <w:spacing w:after="200"/>
      </w:pPr>
      <w:r>
        <w:rPr>
          <w:i/>
          <w:iCs/>
          <w:color w:val="595959"/>
          <w:sz w:val="18"/>
          <w:szCs w:val="18"/>
        </w:rPr>
        <w:t xml:space="preserve">达梦数据(688692)股票历史数据:历史行情,价格,走势图表_英为财情Investing.com — https://cn.investing.com/equities/wuhan-dameng-database-historical-data?utm_source=openai</w:t>
      </w:r>
    </w:p>
    <w:p>
      <w:pPr>
        <w:spacing w:after="200"/>
      </w:pPr>
      <w:r>
        <w:rPr>
          <w:i/>
          <w:iCs/>
          <w:color w:val="595959"/>
          <w:sz w:val="18"/>
          <w:szCs w:val="18"/>
        </w:rPr>
        <w:t xml:space="preserve">达梦数据(688692)_公司公告_达梦数据：2026年半年度报告摘要新浪财经_新浪网 — https://money.finance.sina.com.cn/corp/view/vCB_AllBulletinDetail.php?id=12539294&amp;stockid=688692</w:t>
      </w:r>
    </w:p>
    <w:p>
      <w:pPr>
        <w:spacing w:after="200"/>
      </w:pPr>
      <w:r>
        <w:rPr>
          <w:i/>
          <w:iCs/>
          <w:color w:val="595959"/>
          <w:sz w:val="18"/>
          <w:szCs w:val="18"/>
        </w:rPr>
        <w:t xml:space="preserve">达梦数据(688692)_公司公告_达梦数据：2026年度“提质增效重回报”行动方案的执行进展报告新浪财经_新浪网 — https://money.finance.sina.com.cn/corp/view/vCB_AllBulletinDetail.php?id=12539295&amp;stockid=688692</w:t>
      </w:r>
    </w:p>
    <w:p>
      <w:pPr>
        <w:spacing w:after="200"/>
      </w:pPr>
      <w:r>
        <w:rPr>
          <w:i/>
          <w:iCs/>
          <w:color w:val="595959"/>
          <w:sz w:val="18"/>
          <w:szCs w:val="18"/>
        </w:rPr>
        <w:t xml:space="preserve">达梦数据(688692)_公司公告_达梦数据：2026年第三次临时股东会决议公告新浪财经_新浪网 — https://money.finance.sina.com.cn/corp/view/vCB_AllBulletinDetail.php?id=12598149&amp;stockid=688692</w:t>
      </w:r>
    </w:p>
    <w:p>
      <w:pPr>
        <w:spacing w:after="200"/>
      </w:pPr>
      <w:r>
        <w:rPr>
          <w:i/>
          <w:iCs/>
          <w:color w:val="595959"/>
          <w:sz w:val="18"/>
          <w:szCs w:val="18"/>
        </w:rPr>
        <w:t xml:space="preserve">达梦数据(688692)_公司公告_达梦数据：关于股东权益变动的提示性公告新浪财经_新浪网 — https://money.finance.sina.com.cn/corp/view/vCB_AllBulletinDetail.php?id=12466128&amp;stockid=688692</w:t>
      </w:r>
    </w:p>
    <w:p>
      <w:pPr>
        <w:spacing w:after="200"/>
      </w:pPr>
      <w:r>
        <w:rPr>
          <w:i/>
          <w:iCs/>
          <w:color w:val="595959"/>
          <w:sz w:val="18"/>
          <w:szCs w:val="18"/>
        </w:rPr>
        <w:t xml:space="preserve">股市必读：8月7日达梦数据发布公告，股东增持221.7万股_每日必读_数据解析_股票_证券之星 — https://wap.stockstar.com/detail/RB2026081000000466?utm_source=openai</w:t>
      </w:r>
    </w:p>
    <w:p>
      <w:pPr>
        <w:spacing w:after="200"/>
      </w:pPr>
      <w:r>
        <w:rPr>
          <w:i/>
          <w:iCs/>
          <w:color w:val="595959"/>
          <w:sz w:val="18"/>
          <w:szCs w:val="18"/>
        </w:rPr>
        <w:t xml:space="preserve">达梦数据(688692) 公司大事_F10_同花顺金融服务网 — https://basic.10jqka.com.cn/688692/event.html</w:t>
      </w:r>
    </w:p>
    <w:p>
      <w:pPr>
        <w:spacing w:after="200"/>
      </w:pPr>
      <w:r>
        <w:rPr>
          <w:i/>
          <w:iCs/>
          <w:color w:val="595959"/>
          <w:sz w:val="18"/>
          <w:szCs w:val="18"/>
        </w:rPr>
        <w:t xml:space="preserve">达梦数据(688692)_公司公告_达梦数据：董事会薪酬与考核委员会关于公司2025年限制性股票激励计划预留授予激励对象名单的核查意见及公示情况说明新浪财经_新浪网 — https://vip.stock.finance.sina.com.cn/corp/view/vCB_AllBulletinDetail.php?id=12589481&amp;stockid=688692&amp;utm_source=openai</w:t>
      </w:r>
    </w:p>
    <w:p>
      <w:pPr>
        <w:spacing w:after="200"/>
      </w:pPr>
      <w:r>
        <w:rPr>
          <w:i/>
          <w:iCs/>
          <w:color w:val="595959"/>
          <w:sz w:val="18"/>
          <w:szCs w:val="18"/>
        </w:rPr>
        <w:t xml:space="preserve">ZQ29B052-HJ — https://epaper.stcn.com/att/202511/29/ZQ29B052-HJ_eBook.pdf?utm_source=openai</w:t>
      </w:r>
    </w:p>
    <w:p>
      <w:pPr>
        <w:spacing w:after="200"/>
      </w:pPr>
      <w:r>
        <w:rPr>
          <w:i/>
          <w:iCs/>
          <w:color w:val="595959"/>
          <w:sz w:val="18"/>
          <w:szCs w:val="18"/>
        </w:rPr>
        <w:t xml:space="preserve">https://static.cninfo.com.cn/finalpage/2026-07-02/1225403533.PDF — https://static.cninfo.com.cn/finalpage/2026-07-02/1225403533.PDF</w:t>
      </w:r>
    </w:p>
    <w:p>
      <w:pPr>
        <w:spacing w:after="200"/>
      </w:pPr>
      <w:r>
        <w:rPr>
          <w:i/>
          <w:iCs/>
          <w:color w:val="595959"/>
          <w:sz w:val="18"/>
          <w:szCs w:val="18"/>
        </w:rPr>
        <w:t xml:space="preserve">达梦数据(688692)公告(全部) - 理杏仁 — https://www.lixinger.com/equity/company/detail/sh/688692/688692/announcement?utm_source=openai</w:t>
      </w:r>
    </w:p>
    <w:p>
      <w:pPr>
        <w:spacing w:after="200"/>
      </w:pPr>
      <w:r>
        <w:rPr>
          <w:i/>
          <w:iCs/>
          <w:color w:val="595959"/>
          <w:sz w:val="18"/>
          <w:szCs w:val="18"/>
        </w:rPr>
        <w:t xml:space="preserve">本报告由AI基于公开渠道信息自动检索、整理并生成，信息截至 截至2026年9月11日收盘；技术指标主要按截至2026年9月11日收盘数据测算，MACD和RSI部分采用截至2026年9月10日公开披露数据，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2026-09-13T11:42:00.552Z</dcterms:created>
  <dcterms:modified xsi:type="dcterms:W3CDTF">2026-09-13T11:42:00.552Z</dcterms:modified>
</cp:coreProperties>
</file>

<file path=docProps/custom.xml><?xml version="1.0" encoding="utf-8"?>
<Properties xmlns="http://schemas.openxmlformats.org/officeDocument/2006/custom-properties" xmlns:vt="http://schemas.openxmlformats.org/officeDocument/2006/docPropsVTypes"/>
</file>