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陕西科隆新材料科技股份有限公司（科隆新材） (920098)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行业：橡塑新材料与煤矿装备</w:t>
      </w:r>
    </w:p>
    <w:p>
      <w:pPr>
        <w:jc w:val="center"/>
      </w:pPr>
      <w:r>
        <w:rPr>
          <w:color w:val="595959"/>
          <w:sz w:val="22"/>
          <w:szCs w:val="22"/>
        </w:rPr>
        <w:t xml:space="preserve">报告日期：2026年9月13日</w:t>
      </w:r>
    </w:p>
    <w:p>
      <w:pPr>
        <w:jc w:val="center"/>
      </w:pPr>
      <w:r>
        <w:rPr>
          <w:color w:val="595959"/>
          <w:sz w:val="20"/>
          <w:szCs w:val="20"/>
        </w:rPr>
        <w:t xml:space="preserve">截至2026年9月11日收盘；MA、MACD、RSI、布林带及主力资金数据主要截至2026年9月10日，股东结构数据截至2026年3月31日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科隆新材2025年营业收入4.8432亿元，同比增长0.18%，归母净利润约5,881.31万元，同比下降32.33%；2026年上半年收入进一步增长5.56%至2.284亿元，但归母净利润下降15.84%至2,399.28万元，扣非净利润下降13.65%，毛利率由上年同期36.05%降至34.06%，经营活动现金流净额为-1,490.84万元。公司当前核心特征是收入仍有增长，但低毛利设备业务占比提升、盈利能力和现金回款承压。</w:t>
      </w:r>
    </w:p>
    <w:p>
      <w:pPr>
        <w:spacing w:after="160" w:line="300"/>
      </w:pPr>
      <w:r>
        <w:rPr>
          <w:sz w:val="22"/>
          <w:szCs w:val="22"/>
        </w:rPr>
        <w:t xml:space="preserve">公司业务由橡塑新材料、煤矿辅助运输设备、维修租赁及矿用配件构成。2025年橡塑新材料收入2.2863亿元、毛利率42.15%，仍是主要利润来源；煤矿辅助运输设备收入1.9217亿元、同比增长16.03%，但毛利率仅29.18%。2026年上半年设备收入同比增长27.36%，而橡塑新材料收入下降0.84%、维修服务收入下降49.37%，业务结构继续向相对低毛利的设备侧倾斜。</w:t>
      </w:r>
    </w:p>
    <w:p>
      <w:pPr>
        <w:spacing w:after="160" w:line="300"/>
      </w:pPr>
      <w:r>
        <w:rPr>
          <w:sz w:val="22"/>
          <w:szCs w:val="22"/>
        </w:rPr>
        <w:t xml:space="preserve">公司具备密封件、液压软管、支架搬运车以及维修、租赁和配件服务的综合布局，募投项目覆盖军民两用液压管生产线、研发中心和数字化工厂，有望支持高端密封件、高压胶管、军工橡塑、液冷等方向拓展。但截至2026年6月30日，研发中心项目累计投入进度仅24.57%，军民两用液压管生产线项目投入进度为20.11%，且研发中心建设已延期至2028年12月31日，相关增量业务的兑现仍需观察。</w:t>
      </w:r>
    </w:p>
    <w:p>
      <w:pPr>
        <w:spacing w:after="160" w:line="300"/>
      </w:pPr>
      <w:r>
        <w:rPr>
          <w:sz w:val="22"/>
          <w:szCs w:val="22"/>
        </w:rPr>
        <w:t xml:space="preserve">截至2026年9月11日，公司股价收于18.03元，已跌破MA5、MA10、MA20估算值及布林中轨附近区域，短线价格结构偏弱；但截至9月10日MACD仍在零轴上方，RSI6为42.6，尚未形成传统超卖确认。按18元左右股价计算，公司总市值约14.67亿元，开源证券预测对应2026年预测市盈率约25—29倍，估值合理性取决于后续利润能否兑现。</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920098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科隆新材</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2024年12月5日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1996年，前身为咸阳科隆橡胶制品研究所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陕西省咸阳市秦都区西高新区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最新完整年度数据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2025年年度报告，数据期末为2025年12月31日；年报于2026年披露</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4.8432亿元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4.6679亿元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产能披露情况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公开文件未披露液压密封件、液压软管或支架搬运车统一口径的年设计产能、年产量及产能利用率数据</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募投项目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军民两用新型合成材料液压管生产线建设项目、研发中心建设项目、数字化工厂建设项目</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募集资金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2024年上市发行及超额配售后募集资金净额约1.8617亿元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橡塑新材料产品：液压组合密封件、液压软管及软管总成、军用密封及软管、特种橡塑制品，以及面向高铁、风电、液冷系统等场景的定制化橡塑产品。</w:t>
      </w:r>
    </w:p>
    <w:p>
      <w:pPr>
        <w:pStyle w:val="ListParagraph"/>
        <w:numPr>
          <w:ilvl w:val="0"/>
          <w:numId w:val="2"/>
        </w:numPr>
        <w:spacing w:after="80" w:line="280"/>
      </w:pPr>
      <w:r>
        <w:rPr>
          <w:sz w:val="22"/>
          <w:szCs w:val="22"/>
        </w:rPr>
        <w:t xml:space="preserve">煤矿用辅助运输设备：液压支架搬运车、铲板式搬运车等，覆盖整车设计、生产、销售和维修，重点布局大采高、超长工作面场景。</w:t>
      </w:r>
    </w:p>
    <w:p>
      <w:pPr>
        <w:pStyle w:val="ListParagraph"/>
        <w:numPr>
          <w:ilvl w:val="0"/>
          <w:numId w:val="2"/>
        </w:numPr>
        <w:spacing w:after="80" w:line="280"/>
      </w:pPr>
      <w:r>
        <w:rPr>
          <w:sz w:val="22"/>
          <w:szCs w:val="22"/>
        </w:rPr>
        <w:t xml:space="preserve">维修服务及租赁：围绕支架搬运车提供维修、租赁及相关服务。</w:t>
      </w:r>
    </w:p>
    <w:p>
      <w:pPr>
        <w:pStyle w:val="ListParagraph"/>
        <w:numPr>
          <w:ilvl w:val="0"/>
          <w:numId w:val="2"/>
        </w:numPr>
        <w:spacing w:after="80" w:line="280"/>
      </w:pPr>
      <w:r>
        <w:rPr>
          <w:sz w:val="22"/>
          <w:szCs w:val="22"/>
        </w:rPr>
        <w:t xml:space="preserve">其他矿用配件：围绕煤矿客户提供支架搬运车配件及其他矿用配件。</w:t>
      </w:r>
    </w:p>
    <w:p>
      <w:pPr>
        <w:pStyle w:val="ListParagraph"/>
        <w:numPr>
          <w:ilvl w:val="0"/>
          <w:numId w:val="2"/>
        </w:numPr>
        <w:spacing w:after="80" w:line="280"/>
      </w:pPr>
      <w:r>
        <w:rPr>
          <w:sz w:val="22"/>
          <w:szCs w:val="22"/>
        </w:rPr>
        <w:t xml:space="preserve">2025年收入结构：橡塑新材料产品收入2.2863亿元，占营业收入约47.2%，毛利率42.15%；煤矿用辅助运输设备收入1.9217亿元，占约39.7%，毛利率29.18%；维修服务收入2912.45万元，占约6.0%，毛利率25.16%；其他矿用配件收入1687.19万元，占约3.5%，毛利率2.01%；其他业务收入1752.70万元，毛利率38.40%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科隆新材处于煤矿装备产业链中游，业务以高端橡塑基础零部件为基础，向煤矿辅助运输设备、维修、租赁和配件服务延伸。其生产环节包括材料配方、炼胶、密封成型、胶管制造、总成扣压、整车设计及总装，服务对象覆盖大型煤炭企业、煤机主机厂、军工企业及高铁、风电、液冷等客户。</w:t>
      </w:r>
    </w:p>
    <w:p>
      <w:pPr>
        <w:pStyle w:val="ListParagraph"/>
        <w:numPr>
          <w:ilvl w:val="0"/>
          <w:numId w:val="2"/>
        </w:numPr>
        <w:spacing w:after="80" w:line="280"/>
      </w:pPr>
      <w:r>
        <w:rPr>
          <w:sz w:val="22"/>
          <w:szCs w:val="22"/>
        </w:rPr>
        <w:t xml:space="preserve">橡塑新材料业务主要采购聚氨酯预聚体、聚甲醛、橡胶及各类助剂、钢丝和管接头。</w:t>
      </w:r>
    </w:p>
    <w:p>
      <w:pPr>
        <w:pStyle w:val="ListParagraph"/>
        <w:numPr>
          <w:ilvl w:val="0"/>
          <w:numId w:val="2"/>
        </w:numPr>
        <w:spacing w:after="80" w:line="280"/>
      </w:pPr>
      <w:r>
        <w:rPr>
          <w:sz w:val="22"/>
          <w:szCs w:val="22"/>
        </w:rPr>
        <w:t xml:space="preserve">煤矿辅助运输设备主要使用发动机、机架总成、车桥、防爆柴油机及其他特种车辆零部件。</w:t>
      </w:r>
    </w:p>
    <w:p>
      <w:pPr>
        <w:pStyle w:val="ListParagraph"/>
        <w:numPr>
          <w:ilvl w:val="0"/>
          <w:numId w:val="2"/>
        </w:numPr>
        <w:spacing w:after="80" w:line="280"/>
      </w:pPr>
      <w:r>
        <w:rPr>
          <w:sz w:val="22"/>
          <w:szCs w:val="22"/>
        </w:rPr>
        <w:t xml:space="preserve">上述聚氨酯预聚体、橡胶、聚甲醛、钢丝及发动机等材料和零部件受大宗商品、化工材料及零部件供需关系影响，公司整体上属于部分原材料的价格接受者；年报提示，若主要原材料价格持续上涨且无法快速向下游传导，将压缩产品毛利率。</w:t>
      </w:r>
    </w:p>
    <w:p>
      <w:pPr>
        <w:pStyle w:val="ListParagraph"/>
        <w:numPr>
          <w:ilvl w:val="0"/>
          <w:numId w:val="2"/>
        </w:numPr>
        <w:spacing w:after="80" w:line="280"/>
      </w:pPr>
      <w:r>
        <w:rPr>
          <w:sz w:val="22"/>
          <w:szCs w:val="22"/>
        </w:rPr>
        <w:t xml:space="preserve">2025年前五大供应商采购额为7431.74万元，占采购总额24.75%；单一供应商采购占比均不超过6%，供应商集中度低于客户集中度。前五大供应商包括咸阳鑫胜源机电设备有限公司、上海方安动力技术有限公司、TIEFENBACH Control Systems GmbH、平顶山智德煤机装备有限公司和山西安固力科技有限公司。</w:t>
      </w:r>
    </w:p>
    <w:p>
      <w:pPr>
        <w:pStyle w:val="ListParagraph"/>
        <w:numPr>
          <w:ilvl w:val="0"/>
          <w:numId w:val="2"/>
        </w:numPr>
        <w:spacing w:after="80" w:line="280"/>
      </w:pPr>
      <w:r>
        <w:rPr>
          <w:sz w:val="22"/>
          <w:szCs w:val="22"/>
        </w:rPr>
        <w:t xml:space="preserve">年报未披露化工材料、钢材、发动机零部件等各类原材料的具体采购金额及成本占比，因此无法准确拆分各类投入对成本的影响。</w:t>
      </w:r>
    </w:p>
    <w:p>
      <w:pPr>
        <w:pStyle w:val="ListParagraph"/>
        <w:numPr>
          <w:ilvl w:val="0"/>
          <w:numId w:val="2"/>
        </w:numPr>
        <w:spacing w:after="80" w:line="280"/>
      </w:pPr>
      <w:r>
        <w:rPr>
          <w:sz w:val="22"/>
          <w:szCs w:val="22"/>
        </w:rPr>
        <w:t xml:space="preserve">下游客户主要包括大型煤炭企业及其下属煤矿、煤机主机厂、军工企业和科研院所，以及高铁、风电和液冷系统客户。</w:t>
      </w:r>
    </w:p>
    <w:p>
      <w:pPr>
        <w:pStyle w:val="ListParagraph"/>
        <w:numPr>
          <w:ilvl w:val="0"/>
          <w:numId w:val="2"/>
        </w:numPr>
        <w:spacing w:after="80" w:line="280"/>
      </w:pPr>
      <w:r>
        <w:rPr>
          <w:sz w:val="22"/>
          <w:szCs w:val="22"/>
        </w:rPr>
        <w:t xml:space="preserve">煤炭领域客户包括陕煤集团、晋能控股、国家能源集团、中国神华、中煤能源和山东能源等；煤机客户包括郑煤机、北煤机和平煤机等。</w:t>
      </w:r>
    </w:p>
    <w:p>
      <w:pPr>
        <w:pStyle w:val="ListParagraph"/>
        <w:numPr>
          <w:ilvl w:val="0"/>
          <w:numId w:val="2"/>
        </w:numPr>
        <w:spacing w:after="80" w:line="280"/>
      </w:pPr>
      <w:r>
        <w:rPr>
          <w:sz w:val="22"/>
          <w:szCs w:val="22"/>
        </w:rPr>
        <w:t xml:space="preserve">公司通常通过招投标、询比价和商业谈判取得订单。大型煤炭企业和头部煤机企业采购规模较大、客户资信水平相对较好，但通常具有较强议价能力；煤矿设备订单还受资本开支、煤价和煤炭行业景气度影响。</w:t>
      </w:r>
    </w:p>
    <w:p>
      <w:pPr>
        <w:pStyle w:val="ListParagraph"/>
        <w:numPr>
          <w:ilvl w:val="0"/>
          <w:numId w:val="2"/>
        </w:numPr>
        <w:spacing w:after="80" w:line="280"/>
      </w:pPr>
      <w:r>
        <w:rPr>
          <w:sz w:val="22"/>
          <w:szCs w:val="22"/>
        </w:rPr>
        <w:t xml:space="preserve">截至2025年度，前五大客户销售额合计2.6056亿元，占年度营业收入53.80%。其中陕西煤业化工集团有限责任公司销售额1.4669亿元，占30.29%；晋能控股集团有限公司4945.29万元，占10.21%；国家能源投资集团有限责任公司2910.08万元，占6.01%；林州重机集团股份有限公司2033.13万元，占4.20%；第五大客户因涉及军工业务匿名披露。</w:t>
      </w:r>
    </w:p>
    <w:p>
      <w:pPr>
        <w:pStyle w:val="ListParagraph"/>
        <w:numPr>
          <w:ilvl w:val="0"/>
          <w:numId w:val="2"/>
        </w:numPr>
        <w:spacing w:after="80" w:line="280"/>
      </w:pPr>
      <w:r>
        <w:rPr>
          <w:sz w:val="22"/>
          <w:szCs w:val="22"/>
        </w:rPr>
        <w:t xml:space="preserve">客户集中度数据为2025年度口径，研究纪要未提供其他年度前五大客户占比用于交叉比较；第五大客户名称及部分信息因保密要求未披露，具体以最新年报为准。</w:t>
      </w:r>
    </w:p>
    <w:p>
      <w:pPr>
        <w:pStyle w:val="ListParagraph"/>
        <w:numPr>
          <w:ilvl w:val="0"/>
          <w:numId w:val="2"/>
        </w:numPr>
        <w:spacing w:after="80" w:line="280"/>
      </w:pPr>
      <w:r>
        <w:rPr>
          <w:sz w:val="22"/>
          <w:szCs w:val="22"/>
        </w:rPr>
        <w:t xml:space="preserve">相较于高端橡塑产品，辅助运输设备和其他矿用配件毛利率较低；2025年业务结构向整车设备和配套服务倾斜，对综合盈利能力形成压力。</w:t>
      </w:r>
    </w:p>
    <w:p>
      <w:pPr>
        <w:pStyle w:val="ListParagraph"/>
        <w:numPr>
          <w:ilvl w:val="0"/>
          <w:numId w:val="2"/>
        </w:numPr>
        <w:spacing w:after="80" w:line="280"/>
      </w:pPr>
      <w:r>
        <w:rPr>
          <w:sz w:val="22"/>
          <w:szCs w:val="22"/>
        </w:rPr>
        <w:t xml:space="preserve">截至2025年12月31日，应收账款账面价值为4.0773亿元，占总资产约33.88%，约为2025年营业收入的84.2%和当年归母净利润的6.9倍；应收账款周转率由2024年的1.73下降至2025年的1.34。2024年末应收账款账面价值为3.1633亿元，占营业收入约65.4%。2025年末应付账款为1.0259亿元，高于2024年末的6325.49万元，主要与煤矿辅助运输设备新车型备料、液压软管外购材料尚未达到结算时点有关。应收账款规模上升及周转率下降表明下游客户在付款周期和资金占用方面具有较强话语权，公司需以较大营运资金支持业务扩张；客户多为大型国企或行业龙头，但客户质量较高不等同于回款速度较快。</w:t>
      </w:r>
    </w:p>
    <w:p>
      <w:pPr>
        <w:pStyle w:val="ListParagraph"/>
        <w:numPr>
          <w:ilvl w:val="0"/>
          <w:numId w:val="2"/>
        </w:numPr>
        <w:spacing w:after="80" w:line="280"/>
      </w:pPr>
      <w:r>
        <w:rPr>
          <w:sz w:val="22"/>
          <w:szCs w:val="22"/>
        </w:rPr>
        <w:t xml:space="preserve">客户集中度较高，2025年度前五大客户销售额占营业收入53.80%；供应商方面，2025年前五大供应商采购额占采购总额24.75%，单一供应商占比均不超过6%。客户集中度数据为2025年度年报口径，研究纪要未提供其他年度数据进行交叉比较；军工客户存在匿名披露情况，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38.97%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21.14%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组合密封件等高附加值产品占比较高，整体盈利能力较强。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36.79%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高压胶管、液压支架维修及配件业务占比提升，同时进口聚氨酯预聚体采购价格上涨，单位成本上升并压低毛利率。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41.45%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18.88%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橡塑新材料收入增长，材料改性产品应用增加，大口径密封件等高附加值产品占比提高；聚氨酯预聚体采购价格下降，带动橡塑产品毛利率改善。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41.26%</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17.98%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收入保持增长，橡塑新材料仍是主要利润来源；辅助运输设备和维修服务规模扩大，业务结构变化使综合毛利率略低于2023年。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12.14%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橡塑新材料收入下降14.44%，毛利率相对较低的煤矿辅助运输设备收入增长16.03%，其他矿用配件收入增长124.57%，产品结构变化拉低综合毛利率；应收账款增加和信用减值损失上升也对利润形成压力。</w:t>
            </w:r>
          </w:p>
        </w:tc>
      </w:tr>
    </w:tbl>
    <w:p>
      <w:pPr>
        <w:spacing w:before="200"/>
      </w:pPr>
    </w:p>
    <w:p>
      <w:pPr>
        <w:spacing w:after="160" w:line="300"/>
      </w:pPr>
      <w:r>
        <w:rPr>
          <w:sz w:val="22"/>
          <w:szCs w:val="22"/>
        </w:rPr>
        <w:t xml:space="preserve">公司位于产业链中游的专业化制造环节，既不掌握上游矿产资源，也不具备消费品品牌型终端定价权；橡塑新材料中的高端密封件、高压胶管和军工橡塑产品相对处于中游制造中附加值较高的位置，而辅助运输设备及部分矿用配件偏向规模型、相对低毛利业务。进一步提升利润的关键在于提高高端密封件、大口径高压胶管、军工橡塑产品、纯水介质密封及其他高附加值定制产品的收入占比，同时加强设备业务成本控制并提升维修、租赁和配件等后市场服务的变现能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4.8432亿元（484,320,450.22元）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同比增长0.18%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约5,881.31万元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同比下降32.33%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约9,133.33万元（91,333,343.75元）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约822.26万元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2026年第二季度（根据半年度数据推算）</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约1.371亿元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约1,577万元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约2.28397亿元（228,396,609.13元）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同比增长5.56%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约2,399.28万元（23,992,840.74元）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同比下降15.84%</w:t>
            </w:r>
          </w:p>
        </w:tc>
      </w:tr>
    </w:tbl>
    <w:p>
      <w:pPr>
        <w:spacing w:after="200"/>
      </w:pPr>
      <w:r>
        <w:rPr>
          <w:i/>
          <w:iCs/>
          <w:color w:val="595959"/>
          <w:sz w:val="18"/>
          <w:szCs w:val="18"/>
        </w:rPr>
        <w:t xml:space="preserve">2026年上半年归属于上市公司股东的扣除非经常性损益后的净利润为约2,253.13万元，同比下降13.65%；基本每股收益为0.30元，同比下降14.29%。毛利率为34.06%，上年同期为36.05%，下降1.99个百分点。经营活动产生的现金流量净额为-1,490.84万元，上年同期为-411.60万元；资产负债率为20.70%，上年同期为21.55%。</w:t>
      </w:r>
    </w:p>
    <w:p>
      <w:pPr>
        <w:spacing w:after="160" w:line="300"/>
      </w:pPr>
      <w:r>
        <w:rPr>
          <w:sz w:val="22"/>
          <w:szCs w:val="22"/>
        </w:rPr>
        <w:t xml:space="preserve">公司2026年上半年呈现增收不增利：收入同比增长5.56%，但归母净利润同比下降15.84%。主要压力来自产品结构变化、煤矿辅助运输设备业务毛利率下降，以及军工、数据中心液冷、低空经济、煤机密封和胶管材料改性等领域研发投入增加。煤矿用辅助运输设备收入同比增长27.36%，但毛利率降至26.49%；橡塑新材料产品收入同比下降0.84%，毛利率为43.12%。2025年全年收入基本持平而利润明显下滑。</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以上为开源证券2026年中报后更新的较新预测，研究纪要称其已下调盈利预测。对应预测市盈率约为2026年25.15倍、2027年22.25倍、2028年19.35倍。其他机构及不同版本预测存在差异：华源证券预计2026—2028年归母净利润约0.90亿元、1.33亿元、1.49亿元，EPS约1.11元、1.64元、1.84元；公开转载的开源证券另一版本预计归母净利润约0.60亿元、0.82亿元、0.96亿元，EPS约0.73元、1.01元、1.19元。由于不同版本存在口径差异，不能简单合并为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约5.22亿元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约0.65亿元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约0.80元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约0.74亿元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约0.91元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约6.33亿元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约0.85亿元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约1.04元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开源证券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2026年9月中报点评后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中报后维持增持评级；较此前下调盈利预测，主要由于产品结构变化、综合毛利率承压及研发费用增加。</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华源证券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年报点评后维持增持评级；认为传统煤炭相关业务短期承压，军工、液冷、海外配套及辅助运输设备等新业务可能形成增量。</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中国银河</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2025年7月首次覆盖</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预计2025—2027年EPS分别为1.26元、1.49元、1.77元。</w:t>
            </w:r>
          </w:p>
        </w:tc>
      </w:tr>
    </w:tbl>
    <w:p>
      <w:pPr>
        <w:spacing w:before="200"/>
      </w:pPr>
    </w:p>
    <w:p>
      <w:pPr>
        <w:spacing w:after="160" w:line="300"/>
      </w:pPr>
      <w:r>
        <w:rPr>
          <w:sz w:val="22"/>
          <w:szCs w:val="22"/>
        </w:rPr>
        <w:t xml:space="preserve">截至2026年9月11日收盘价为18.03元，总股本约8,132.04万股，按收盘价和总股本简单计算总市值约14.66亿元。截至2026年9月10日公开估值数据为PE-TTM约27.83倍、PB约1.60倍、总市值约15.11亿元、股价18.58元。由于公开平台未同步披露9月11日完整PE指标，PE-TTM仍引用9月10日数据，不将其表述为9月11日精确估值。按开源证券中报后预测，18元左右股价对应2026年预测PE约25—29倍、2027年约18—22倍、2028年约15—19倍。公开可检索研报摘要未发现明确的绝对目标价，当前估值合理性主要取决于2026—2028年利润兑现情况。</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9月以来暂无新的重大公司公告</w:t>
      </w:r>
    </w:p>
    <w:p>
      <w:pPr>
        <w:spacing w:after="160" w:line="300"/>
      </w:pPr>
      <w:r>
        <w:rPr>
          <w:sz w:val="22"/>
          <w:szCs w:val="22"/>
        </w:rPr>
        <w:t xml:space="preserve">截至2026年9月12日，公开公告检索未发现科隆新材在2026年9月1日至9月12日期间披露新的重大公司公告。公司最近一批集中披露公告日期为2026年8月28日，主要包括2026年半年度报告、半年度募集资金存放与使用专项报告、募投项目延期公告、董事会决议及持续督导核查意见等。2026年9月4日出现投资者互动记录更新，2026年9月10日出现融资融券数据更新，但不属于公司新增重大经营公告。</w:t>
      </w:r>
    </w:p>
    <w:p>
      <w:pPr>
        <w:pStyle w:val="Heading2"/>
        <w:spacing w:after="120" w:before="240"/>
      </w:pPr>
      <w:r>
        <w:rPr>
          <w:b/>
          <w:bCs/>
          <w:color w:val="2E74B5"/>
          <w:sz w:val="24"/>
          <w:szCs w:val="24"/>
        </w:rPr>
        <w:t xml:space="preserve">4.2 2026年半年度报告：收入增长但利润下滑</w:t>
      </w:r>
    </w:p>
    <w:p>
      <w:pPr>
        <w:spacing w:after="160" w:line="300"/>
      </w:pPr>
      <w:r>
        <w:rPr>
          <w:sz w:val="22"/>
          <w:szCs w:val="22"/>
        </w:rPr>
        <w:t xml:space="preserve">公司于2026年8月28日披露未经审计的2026年半年度报告，报告期为2026年1月1日至2026年6月30日。报告期内营业收入22,839.66万元，同比增长5.56%；归属于上市公司股东的净利润2,399.28万元，同比下降15.84%；扣除非经常性损益后的净利润2,253.13万元，同比下降13.65%；综合毛利率34.06%，较上年同期下降1.99个百分点；经营活动产生的现金流量净额为-1,491万元，上年同期为-412万元。2026年第二季度营业收入约1.37亿元，同比增长3.70%；归母净利润约1,577万元，同比下降9.58%。</w:t>
      </w:r>
    </w:p>
    <w:p>
      <w:pPr>
        <w:pStyle w:val="Heading2"/>
        <w:spacing w:after="120" w:before="240"/>
      </w:pPr>
      <w:r>
        <w:rPr>
          <w:b/>
          <w:bCs/>
          <w:color w:val="2E74B5"/>
          <w:sz w:val="24"/>
          <w:szCs w:val="24"/>
        </w:rPr>
        <w:t xml:space="preserve">4.3 分业务收入表现及毛利率承压</w:t>
      </w:r>
    </w:p>
    <w:p>
      <w:pPr>
        <w:spacing w:after="160" w:line="300"/>
      </w:pPr>
      <w:r>
        <w:rPr>
          <w:sz w:val="22"/>
          <w:szCs w:val="22"/>
        </w:rPr>
        <w:t xml:space="preserve">2026年上半年，煤矿用辅助运输设备收入11,304.18万元，同比增长27.36%；橡塑新材料产品收入10,362.16万元，同比下降0.84%；维修服务收入618.10万元，同比下降49.37%。公司解释称，收入结构中相对低毛利的煤矿辅助运输设备业务占比提高，导致整体毛利率和利润率承压。</w:t>
      </w:r>
    </w:p>
    <w:p>
      <w:pPr>
        <w:pStyle w:val="Heading2"/>
        <w:spacing w:after="120" w:before="240"/>
      </w:pPr>
      <w:r>
        <w:rPr>
          <w:b/>
          <w:bCs/>
          <w:color w:val="2E74B5"/>
          <w:sz w:val="24"/>
          <w:szCs w:val="24"/>
        </w:rPr>
        <w:t xml:space="preserve">4.4 暂未检索到单独的业绩预告</w:t>
      </w:r>
    </w:p>
    <w:p>
      <w:pPr>
        <w:spacing w:after="160" w:line="300"/>
      </w:pPr>
      <w:r>
        <w:rPr>
          <w:sz w:val="22"/>
          <w:szCs w:val="22"/>
        </w:rPr>
        <w:t xml:space="preserve">截至2026年9月12日，未检索到公司针对2026年前三季度或2026年度单独披露的业绩预告、业绩预增或业绩预减公告。当前可确认的最新业绩信息主要来自2026年半年度报告。半年度报告中披露了对2026年1—9月经营业绩的预计章节，但公开检索结果未显示公司另行发布具体的前三季度盈利预告公告，具体内容应以北交所原始定期报告全文为准。</w:t>
      </w:r>
    </w:p>
    <w:p>
      <w:pPr>
        <w:pStyle w:val="Heading2"/>
        <w:spacing w:after="120" w:before="240"/>
      </w:pPr>
      <w:r>
        <w:rPr>
          <w:b/>
          <w:bCs/>
          <w:color w:val="2E74B5"/>
          <w:sz w:val="24"/>
          <w:szCs w:val="24"/>
        </w:rPr>
        <w:t xml:space="preserve">4.5 募投项目延期至2028年12月31日</w:t>
      </w:r>
    </w:p>
    <w:p>
      <w:pPr>
        <w:spacing w:after="160" w:line="300"/>
      </w:pPr>
      <w:r>
        <w:rPr>
          <w:sz w:val="22"/>
          <w:szCs w:val="22"/>
        </w:rPr>
        <w:t xml:space="preserve">公司于2026年8月28日披露《募投项目延期公告》，公告编号为2026-068，决定将“研发中心建设项目”达到预定可使用状态的日期延长至2028年12月31日。截至2026年6月30日，该项目计划投资额为4,794.34万元，累计投入1,177.79万元，投入进度为24.57%。公司表示，本次延期不改变募投项目实施主体、募集资金投资用途及总投资规模；延期事项已经董事会审计委员会及董事会审议通过，无需提交股东会审议。保荐机构国新证券对本次延期事项无异议。</w:t>
      </w:r>
    </w:p>
    <w:p>
      <w:pPr>
        <w:pStyle w:val="Heading2"/>
        <w:spacing w:after="120" w:before="240"/>
      </w:pPr>
      <w:r>
        <w:rPr>
          <w:b/>
          <w:bCs/>
          <w:color w:val="2E74B5"/>
          <w:sz w:val="24"/>
          <w:szCs w:val="24"/>
        </w:rPr>
        <w:t xml:space="preserve">4.6 其他募投项目投资进度</w:t>
      </w:r>
    </w:p>
    <w:p>
      <w:pPr>
        <w:spacing w:after="160" w:line="300"/>
      </w:pPr>
      <w:r>
        <w:rPr>
          <w:sz w:val="22"/>
          <w:szCs w:val="22"/>
        </w:rPr>
        <w:t xml:space="preserve">截至2026年6月30日，“军民两用新型合成材料液压管生产线建设项目”计划投资额15,705.66万元，累计投入3,157.72万元，投入进度为20.11%；“数字化工厂建设项目”计划投资额500万元，累计投入299.59万元，投入进度为59.92%。</w:t>
      </w:r>
    </w:p>
    <w:p>
      <w:pPr>
        <w:pStyle w:val="Heading2"/>
        <w:spacing w:after="120" w:before="240"/>
      </w:pPr>
      <w:r>
        <w:rPr>
          <w:b/>
          <w:bCs/>
          <w:color w:val="2E74B5"/>
          <w:sz w:val="24"/>
          <w:szCs w:val="24"/>
        </w:rPr>
        <w:t xml:space="preserve">4.7 持股5%以上股东减持</w:t>
      </w:r>
    </w:p>
    <w:p>
      <w:pPr>
        <w:spacing w:after="160" w:line="300"/>
      </w:pPr>
      <w:r>
        <w:rPr>
          <w:sz w:val="22"/>
          <w:szCs w:val="22"/>
        </w:rPr>
        <w:t xml:space="preserve">公司于2026年7月22日披露权益变动公告。持股5%以上股东宁波合恩伟业创业投资合伙企业（有限合伙）在2026年6月8日至2026年7月21日期间，通过集中竞价和大宗交易累计减持1,368,395股，占公司总股本的1.6827%，持股比例由6.6827%下降至5.0000%，触及5%整数倍。该股东不是公司第一大股东或实际控制人。</w:t>
      </w:r>
    </w:p>
    <w:p>
      <w:pPr>
        <w:pStyle w:val="Heading2"/>
        <w:spacing w:after="120" w:before="240"/>
      </w:pPr>
      <w:r>
        <w:rPr>
          <w:b/>
          <w:bCs/>
          <w:color w:val="2E74B5"/>
          <w:sz w:val="24"/>
          <w:szCs w:val="24"/>
        </w:rPr>
        <w:t xml:space="preserve">4.8 减持计划执行情况及后续安排</w:t>
      </w:r>
    </w:p>
    <w:p>
      <w:pPr>
        <w:spacing w:after="160" w:line="300"/>
      </w:pPr>
      <w:r>
        <w:rPr>
          <w:sz w:val="22"/>
          <w:szCs w:val="22"/>
        </w:rPr>
        <w:t xml:space="preserve">2026年7月27日，公司披露持股5%以上股东减持股份结果公告。公开数据库显示，合恩伟业于2026年7月22日至7月24日期间继续减持约25.8万股，占流通股本约0.47%；此前在2026年7月20日还发生过约111.2万股的大宗交易，成交均价约13.29元。具体持股比例和减持完成情况应以公司2026-063号公告原文为准。公司此前于2026年4月20日披露，合恩伟业拟在公告披露之日起30个交易日后的3个月内，通过集中竞价或大宗交易合计减持不超过1,626,400股，不超过公司总股本的2%。</w:t>
      </w:r>
    </w:p>
    <w:p>
      <w:pPr>
        <w:pStyle w:val="Heading2"/>
        <w:spacing w:after="120" w:before="240"/>
      </w:pPr>
      <w:r>
        <w:rPr>
          <w:b/>
          <w:bCs/>
          <w:color w:val="2E74B5"/>
          <w:sz w:val="24"/>
          <w:szCs w:val="24"/>
        </w:rPr>
        <w:t xml:space="preserve">4.9 2026年暂未发现股份回购安排</w:t>
      </w:r>
    </w:p>
    <w:p>
      <w:pPr>
        <w:spacing w:after="160" w:line="300"/>
      </w:pPr>
      <w:r>
        <w:rPr>
          <w:sz w:val="22"/>
          <w:szCs w:val="22"/>
        </w:rPr>
        <w:t xml:space="preserve">截至2026年9月12日，未检索到科隆新材在2026年内披露股份回购方案、回购进展、回购实施结果或回购专项贷款等公告。公司招股说明书和公司章程中存在关于稳定股价、回购股份等制度性安排，但制度性安排不代表公司当前已经启动回购。</w:t>
      </w:r>
    </w:p>
    <w:p>
      <w:pPr>
        <w:pStyle w:val="Heading2"/>
        <w:spacing w:after="120" w:before="240"/>
      </w:pPr>
      <w:r>
        <w:rPr>
          <w:b/>
          <w:bCs/>
          <w:color w:val="2E74B5"/>
          <w:sz w:val="24"/>
          <w:szCs w:val="24"/>
        </w:rPr>
        <w:t xml:space="preserve">4.10 暂未发现并购、重大资产重组或控制权变更事项</w:t>
      </w:r>
    </w:p>
    <w:p>
      <w:pPr>
        <w:spacing w:after="160" w:line="300"/>
      </w:pPr>
      <w:r>
        <w:rPr>
          <w:sz w:val="22"/>
          <w:szCs w:val="22"/>
        </w:rPr>
        <w:t xml:space="preserve">截至2026年9月12日，未检索到科隆新材披露重大资产重组、并购收购、控制权变更或重大股权投资公告。近期公告重点集中在募投项目建设延期及募集资金管理。</w:t>
      </w:r>
    </w:p>
    <w:p>
      <w:pPr>
        <w:pStyle w:val="Heading2"/>
        <w:spacing w:after="120" w:before="240"/>
      </w:pPr>
      <w:r>
        <w:rPr>
          <w:b/>
          <w:bCs/>
          <w:color w:val="2E74B5"/>
          <w:sz w:val="24"/>
          <w:szCs w:val="24"/>
        </w:rPr>
        <w:t xml:space="preserve">4.11 陕西证监局警示函事项</w:t>
      </w:r>
    </w:p>
    <w:p>
      <w:pPr>
        <w:spacing w:after="160" w:line="300"/>
      </w:pPr>
      <w:r>
        <w:rPr>
          <w:sz w:val="22"/>
          <w:szCs w:val="22"/>
        </w:rPr>
        <w:t xml:space="preserve">2025年9月1日，陕西证监局对科隆新材及董事长邹威文、董事会秘书任瑞婷采取出具警示函的行政监管措施，文号为“陕证监措施字〔2025〕28号”。监管部门认定的问题包括：公司于2024年11月设立募集资金专项账户未经董事会审议批准，且此前募集资金专项报告中有关不存在募集资金使用及管理违规情形的披露与事实不符；2024年年度报告遗漏披露一笔作为原告起诉阜新矿业集团机械制造有限公司的买卖合同纠纷，导致诉讼、仲裁金额少披露199.37万元；公司及子公司曾为公司借款提供1,000万元反担保，但相关对外担保事项未在2024年年报中完整披露。公司及相关责任人被要求在收到决定书之日起30个工作日内提交书面整改报告。该事项发生于2025年9月1日，并非2026年9月新增监管处罚。</w:t>
      </w:r>
    </w:p>
    <w:p>
      <w:pPr>
        <w:pStyle w:val="Heading2"/>
        <w:spacing w:after="120" w:before="240"/>
      </w:pPr>
      <w:r>
        <w:rPr>
          <w:b/>
          <w:bCs/>
          <w:color w:val="2E74B5"/>
          <w:sz w:val="24"/>
          <w:szCs w:val="24"/>
        </w:rPr>
        <w:t xml:space="preserve">4.12 煤矿安全标准及行业监管要求变化</w:t>
      </w:r>
    </w:p>
    <w:p>
      <w:pPr>
        <w:spacing w:after="160" w:line="300"/>
      </w:pPr>
      <w:r>
        <w:rPr>
          <w:sz w:val="22"/>
          <w:szCs w:val="22"/>
        </w:rPr>
        <w:t xml:space="preserve">公司2026年半年度报告提及，2026年上半年发布或实施的煤矿安全生产监管要求及《GB 16413-2026煤矿用非金属制品安全技术要求》等标准，涉及井下橡塑密封件、高分子软管、PTFE管材的阻燃、抗静电及安全性能要求。公司认为，煤矿设备更新、零部件定期更换、安全标准提高和国产化替代，有利于煤机橡塑新材料及煤矿辅助运输设备业务。截至2026年9月12日，未检索到9月份针对科隆新材的专项产业政策、政府补助、重大订单或监管部门定向支持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18.03元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-0.55元，-2.96%</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18.42元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18.86元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18.03元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15,329手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约2,795.04万元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约4.47%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15.12~34.00元；截至2026年9月10日的大波浪数据，52周最高价34.00元、最低价15.12元。不同平台存在复权口径及刷新时点差异，雪球此前显示52周最高价36.97元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总市值及流通市值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按2026年9月11日收盘价估算，总市值约14.67亿元，流通市值约9.99亿元；为估算值</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根据2026年9月11日收盘数据手工估算，MA5约19.23元、MA10约19.44元、MA20约18.27元；平台截至2026年9月10日数据显示MA5为19.58元、MA10为19.40元、MA20为18.21元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18.03元收盘价已跌破MA5、MA10和MA20附近区域，短线均线结构较9月10日进一步转弱；18.2~18.3元附近的20日线区域可能成为反弹压力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截至2026年9月10日，DIF为0.62、DEA为0.48、MACD柱为+0.29；9月11日更新值缺失或未获可靠交叉验证</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截至9月10日DIF仍高于DEA，MACD柱位于零轴上方，中短期动能尚未完全转入空头；连续下跌后若DIF、DEA同步下行，需关注柱体收窄及死叉风险</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截至2026年9月10日，RSI6为42.6、RSI12为50.5、RSI24为50.4；9月11日更新值缺失</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RSI6处于30~70传统中性区间但低于中轴，显示短线动量转弱；尚未获得进入传统超卖区间的确认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截至2026年9月10日，上轨21.15元、中轨18.21元、下轨15.28元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9月11日收盘价18.03元已略低于18.21元中轨；若中轨继续下移，18.0~18.3元区域可能由中轨支撑区转为反弹压力区。下轨15.28元接近52周低点15.12元，属于远端风险参考</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近期成交量与价格特征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9月2日至9月11日成交额约2,795万元至1.39亿元，换手率约2.77%至11.95%；剔除9月2日异常放量日后，多数交易日成交额约2,800万~9,000万元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9月2日冲高后股价连续回落，9月3日、9月4日、9月10日出现较明显的下跌放量；9月11日成交额回落至约2,795万元但价格继续下跌，更接近前期放量后的缩量回落，短线承接力度仍需观察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截至2026年9月10日，最近一个交易日主力资金净流入约286万元，近10个交易日合计净流入约252万元，其中4天净流入、6天净流出；9月11日数据未获第二个可靠来源交叉验证</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9月10日出现主力资金净流入但股价下跌7.79%的背离，可能反映大单存在承接但卖压仍较重；该数据按大单、超大单口径统计，不等同于真实机构账户行为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截至2026年3月31日，前十大股东合计持股49,262,655股，占总股本60.5786%；控制人邹威文及其配偶穆倩合计持股约40.45%。该数据距2026年9月11日约5个半月，存在时滞</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股东集中度较高，前十大股东中明确识别的公募基金、社保基金或QFII并不明显，主要包括实际控制人、创投机构、自然人股东、证券公司及客户信用交易担保证券账户；后续减持、交易及限售股流通可能已改变实际筹码结构</w:t>
            </w:r>
          </w:p>
        </w:tc>
      </w:tr>
    </w:tbl>
    <w:p>
      <w:pPr>
        <w:spacing w:before="200"/>
      </w:pPr>
    </w:p>
    <w:p>
      <w:pPr>
        <w:spacing w:after="160" w:line="300"/>
      </w:pPr>
      <w:r>
        <w:rPr>
          <w:sz w:val="22"/>
          <w:szCs w:val="22"/>
        </w:rPr>
        <w:t xml:space="preserve">科隆新材2026年9月11日收于18.03元，较前一交易日下跌2.96%，已跌破MA5、MA10、MA20估算值及布林中轨附近区域，短线均线和价格结构偏弱。MACD截至9月10日仍处于零轴上方，RSI6尚未进入传统超卖区间，说明动能转弱但尚未形成极端超卖确认。价格自9月2日放量上涨后连续回落，9月10日明显放量下跌、9月11日缩量续跌，短线承接仍需观察。前十大股东集中度数据截至2026年3月31日约60.58%，但存在明显时滞；结合总市值约14.67亿元、流通市值约9.99亿元及近期成交额水平，放量时价格弹性可能较大，缩量时买卖盘深度可能下降。</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风险提示：以下内容仅为基于2026年9月11日收盘数据、历史价格和技术指标的主观情景推演，不构成投资建议，也不代表对未来价格的确定性判断。</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19.2~19.5元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主要对应MA5、MA10估算区域及近期成交密集区。若反弹至该区域但成交额不能有效放大，可能重新出现抛压。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次级压力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19.7~20.3元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对应9月7日至9月9日价格平台及20元附近区域；若放量收复20.0元上方，短线弱势结构可能得到一定修复。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17.8~18.3元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对应MA20约18.27元、布林中轨18.21元、9月11日收盘价18.03元及近期价格密集区。若该区域失守，需进一步观察17.5~17.8元强支撑。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17.5~17.8元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依据8月27日至8月31日价格平台和部分成交密集区。若放量跌破17.5元，可能打开向16.5~17.0元区域观察的空间。</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远端风险参考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15.1~15.3元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对应52周低点15.12元和布林下轨约15.28元，仅为进一步走弱时的风险参考，不代表短期目标位。</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形态、成交量和资金流向的主观启发式权重，不是统计概率）：价格观察区间为17.8~19.3元。触发条件包括17.8~18.0元附近缩量企稳、单日成交额维持约3,000万~6,000万元、不再出现连续放量长阴，且北交所整体及橡胶制品、基础化工板块没有明显系统性下跌。在该情景下，18.2~18.3元附近可能先成为反弹压力，量能不足时股价可能在18元附近反复震荡。</w:t>
      </w:r>
    </w:p>
    <w:p>
      <w:pPr>
        <w:pStyle w:val="ListParagraph"/>
        <w:numPr>
          <w:ilvl w:val="0"/>
          <w:numId w:val="2"/>
        </w:numPr>
        <w:spacing w:after="80" w:line="280"/>
      </w:pPr>
      <w:r>
        <w:rPr>
          <w:sz w:val="22"/>
          <w:szCs w:val="22"/>
        </w:rPr>
        <w:t xml:space="preserve">偏弱下行（权重中等；为主观启发式权重，不是统计概率）：价格观察区间为16.5~18.0元。触发条件包括收盘价有效跌破17.8元、跌破过程中成交额重新放大至约6,000万~8,000万元以上、主力资金连续多个交易日净流出，以及9月2日以来回落趋势继续延伸。若17.5元附近也被放量跌破，需观察16.5~17.0元平台；极端弱势下，远期风险参考为15.1~15.3元区域。</w:t>
      </w:r>
    </w:p>
    <w:p>
      <w:pPr>
        <w:pStyle w:val="ListParagraph"/>
        <w:numPr>
          <w:ilvl w:val="0"/>
          <w:numId w:val="2"/>
        </w:numPr>
        <w:spacing w:after="80" w:line="280"/>
      </w:pPr>
      <w:r>
        <w:rPr>
          <w:sz w:val="22"/>
          <w:szCs w:val="22"/>
        </w:rPr>
        <w:t xml:space="preserve">反弹走强（权重偏低；为主观启发式权重，不是统计概率）：价格观察区间为19.3~20.5元。触发条件包括重新站上18.3元附近的MA20及布林中轨区域，随后放量突破19.3~19.5元MA5、MA10压力区，单日成交额明显高于近期常态并至少达到约7,000万元，同时橡胶制品或北交所小盘成长股板块同步转强，且公司出现可验证的新消息或公告催化。若放量收复19.5元，可进一步观察19.7~20.3元平台；若冲击20元时成交量不能持续放大，仍可能出现反弹后的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2.77%，成交额约2,795万元；近期多数交易日成交额约2,800万~9,000万元，9月2日曾放大至约1.39亿元。2026年3月31日数据显示，前十大股东合计持股占总股本60.5786%，控制人及其配偶合计持股约40.45%；该股东结构数据距最新行情约5个半月，可能已受到后续减持、交易和限售股流通影响，不能视为2026年9月11日的实时结构。当前数据表明公司市值较小、流通股本相对有限且筹码集中度较高，放量时价格弹性可能较大，缩量时买卖盘深度可能下降；在成交额不足时，较大买卖单可能带来更明显的价格滑移。前十大股东中明确识别的公募基金、社保基金或QFII并不明显，主要构成为实际控制人、创投机构、自然人股东、证券公司及客户信用交易担保证券账户。</w:t>
      </w:r>
    </w:p>
    <w:p>
      <w:pPr>
        <w:spacing w:after="160" w:line="300"/>
      </w:pPr>
      <w:r>
        <w:rPr>
          <w:sz w:val="22"/>
          <w:szCs w:val="22"/>
        </w:rPr>
        <w:t xml:space="preserve">可检查的量价信号是：若单日成交额连续达到约7,000万元以上，并同时有效突破19.3~19.5元压力区，可视为更有意义的量价修复信号；若成交额持续低于3,000万元，则仍需关注低流动性震荡特征。</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观察18.2~18.3元的MA20及布林中轨区域能否重新站回；该区域若持续承压，短线破位压力可能延续。</w:t>
      </w:r>
    </w:p>
    <w:p>
      <w:pPr>
        <w:pStyle w:val="ListParagraph"/>
        <w:numPr>
          <w:ilvl w:val="0"/>
          <w:numId w:val="2"/>
        </w:numPr>
        <w:spacing w:after="80" w:line="280"/>
      </w:pPr>
      <w:r>
        <w:rPr>
          <w:sz w:val="22"/>
          <w:szCs w:val="22"/>
        </w:rPr>
        <w:t xml:space="preserve">观察17.8元第一支撑和17.5元强支撑；若出现放量跌破，进一步关注16.5~17.0元平台。</w:t>
      </w:r>
    </w:p>
    <w:p>
      <w:pPr>
        <w:pStyle w:val="ListParagraph"/>
        <w:numPr>
          <w:ilvl w:val="0"/>
          <w:numId w:val="2"/>
        </w:numPr>
        <w:spacing w:after="80" w:line="280"/>
      </w:pPr>
      <w:r>
        <w:rPr>
          <w:sz w:val="22"/>
          <w:szCs w:val="22"/>
        </w:rPr>
        <w:t xml:space="preserve">观察19.2~19.5元第一压力区，重点结合成交额是否同步放大判断反弹承接力度。</w:t>
      </w:r>
    </w:p>
    <w:p>
      <w:pPr>
        <w:pStyle w:val="ListParagraph"/>
        <w:numPr>
          <w:ilvl w:val="0"/>
          <w:numId w:val="2"/>
        </w:numPr>
        <w:spacing w:after="80" w:line="280"/>
      </w:pPr>
      <w:r>
        <w:rPr>
          <w:sz w:val="22"/>
          <w:szCs w:val="22"/>
        </w:rPr>
        <w:t xml:space="preserve">观察成交额是否连续达到约7,000万元以上并伴随突破19.5元。以上均为观察思路，非买入、卖出或持有指令。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科隆新材横跨液压密封件、液压软管及软管总成、煤矿辅助运输设备三个细分赛道，并通过维修、租赁和矿用配件服务延伸产业链。行业竞争核心包括材料配方、耐磨耐压及耐高低温性能、大尺寸和复杂工况产品开发能力、主机厂认证与批量供货能力，以及现场服务和快速响应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液压密封件主要应用于工程机械、煤矿机械、航空航天、汽车和轨道交通等行业；煤矿液压支架密封件定制化程度较高，需要适配不同缸径、压力和工作环境，客户认证周期较长。</w:t>
      </w:r>
    </w:p>
    <w:p>
      <w:pPr>
        <w:pStyle w:val="ListParagraph"/>
        <w:numPr>
          <w:ilvl w:val="0"/>
          <w:numId w:val="2"/>
        </w:numPr>
        <w:spacing w:after="80" w:line="280"/>
      </w:pPr>
      <w:r>
        <w:rPr>
          <w:sz w:val="22"/>
          <w:szCs w:val="22"/>
        </w:rPr>
        <w:t xml:space="preserve">液压软管既受煤矿新设备投资影响，也受存量设备维修和更换需求影响，具备一定后市场属性。公司在煤机行业液压软管增量和维修市场的占有率，华金证券2024年新股报告引用公司披露数据称，2023年约为4.7%至6.0%；该数据属于公司披露或券商转述口径，未找到独立第三方统计交叉验证，不宜视为权威行业市场份额。</w:t>
      </w:r>
    </w:p>
    <w:p>
      <w:pPr>
        <w:pStyle w:val="ListParagraph"/>
        <w:numPr>
          <w:ilvl w:val="0"/>
          <w:numId w:val="2"/>
        </w:numPr>
        <w:spacing w:after="80" w:line="280"/>
      </w:pPr>
      <w:r>
        <w:rPr>
          <w:sz w:val="22"/>
          <w:szCs w:val="22"/>
        </w:rPr>
        <w:t xml:space="preserve">煤矿辅助运输设备需求与煤矿固定资产投资、综采工作面建设、矿井智能化改造及大采高趋势相关。液压支架大型化、大采高和超长工作面推动更大吨位、更高负载及更长距离运输装备需求。</w:t>
      </w:r>
    </w:p>
    <w:p>
      <w:pPr>
        <w:pStyle w:val="ListParagraph"/>
        <w:numPr>
          <w:ilvl w:val="0"/>
          <w:numId w:val="2"/>
        </w:numPr>
        <w:spacing w:after="80" w:line="280"/>
      </w:pPr>
      <w:r>
        <w:rPr>
          <w:sz w:val="22"/>
          <w:szCs w:val="22"/>
        </w:rPr>
        <w:t xml:space="preserve">煤矿智能化提高了对车辆可靠性、自动化和安全性的要求；后市场维修、租赁及配件服务成为设备企业的重要增量方向。</w:t>
      </w:r>
    </w:p>
    <w:p>
      <w:pPr>
        <w:pStyle w:val="ListParagraph"/>
        <w:numPr>
          <w:ilvl w:val="0"/>
          <w:numId w:val="2"/>
        </w:numPr>
        <w:spacing w:after="80" w:line="280"/>
      </w:pPr>
      <w:r>
        <w:rPr>
          <w:sz w:val="22"/>
          <w:szCs w:val="22"/>
        </w:rPr>
        <w:t xml:space="preserve">科隆新材的差异化在于同时具备橡塑密封、液压软管和支架搬运车能力，能够围绕液压支架提供零部件、整车和维修服务。公司2025年披露，80吨及以上载重的支架搬运车能够匹配大型液压支架的发展趋势。</w:t>
      </w:r>
    </w:p>
    <w:p>
      <w:pPr>
        <w:pStyle w:val="ListParagraph"/>
        <w:numPr>
          <w:ilvl w:val="0"/>
          <w:numId w:val="2"/>
        </w:numPr>
        <w:spacing w:after="80" w:line="280"/>
      </w:pPr>
      <w:r>
        <w:rPr>
          <w:sz w:val="22"/>
          <w:szCs w:val="22"/>
        </w:rPr>
        <w:t xml:space="preserve">公司与规模更大的综合密封件企业相比整体规模仍然较小，且煤炭及煤机行业仍是主要收入来源，行业周期、原材料价格和客户采购节奏均会影响经营表现。</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唯万密封（301161.SZ）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液压气动密封件企业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液压密封件、液压密封包、气动密封件、油封和履带密封等，应用于工程机械和煤机领域；与科隆新材在液压密封件、煤机客户及工程机械应用方面重合度较高。唯万密封业务规模和产品覆盖面更大，科隆新材则在煤矿辅助运输设备和军工橡塑产品方面更具综合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利通科技（832225.BJ）</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液压橡胶软管及软管总成企业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覆盖钢丝增强软管、纤维增强软管、橡塑复合软管、石油钻采软管及软管总成等；与科隆新材在高压胶管、液压软管及软管总成方面直接可比。利通科技应用领域更广，科隆新材与煤矿液压支架、军工及大采高煤机应用结合更紧密。</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矿益股份（837523.NQ）</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煤矿及工程机械橡胶软管企业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超高压钢丝缠绕液压橡胶软管、高压钢丝编织软管及胶管组合件；与科隆新材在煤矿液压软管、煤机维修市场和煤炭客户方面重合。矿益股份更聚焦橡胶软管，科隆新材同时覆盖密封件、软管、辅助运输设备和维修服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亚通精工（603190.SH）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汽车零部件与矿用辅助运输设备企业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矿用设备包括防爆柴油机混凝土搅拌运输车、防爆柴油机湿式混凝土喷射车、支架搬运车和铲板式搬运车等；与科隆新材在煤矿辅助运输设备，尤其是支架搬运车领域具有可比性。但其主营收入仍以汽车零部件为主，矿用辅助运输设备占比较小，仅适合作为相关业务参考可比公司。</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盛帮股份（301233.SZ）</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橡胶高分子材料制品企业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营密封件、垫片、电气橡胶件等，主要应用于汽车、电气和航空领域；与科隆新材在高分子橡塑材料、航空航天及特种橡胶制品方面存在部分交集，但其主要市场、客户结构和下游行业周期与科隆新材差异较大。</w:t>
            </w:r>
          </w:p>
        </w:tc>
      </w:tr>
    </w:tbl>
    <w:p>
      <w:pPr>
        <w:spacing w:before="200"/>
      </w:pPr>
    </w:p>
    <w:p>
      <w:pPr>
        <w:spacing w:after="160" w:line="300"/>
      </w:pPr>
      <w:r>
        <w:rPr>
          <w:sz w:val="22"/>
          <w:szCs w:val="22"/>
        </w:rPr>
        <w:t xml:space="preserve">科隆新材与唯万密封、利通科技、矿益股份分别在液压密封件和液压软管领域形成可比关系，与亚通精工在煤矿辅助运输设备领域形成业务可比，与盛帮股份在高分子橡塑及特种橡胶制品领域存在部分交集。相较于单一产品或单一行业竞争者，科隆新材的特点是将密封件、软管、支架搬运车、维修、租赁及配件服务结合起来，但其客户集中度较高、煤炭及煤机行业暴露度较高，且辅助运输设备和其他矿用配件的毛利率低于橡塑新材料产品。</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集中度较高：2025年前五大客户销售额占营业收入53.80%，其中陕西煤业化工集团有限责任公司占30.29%、晋能控股集团有限公司占10.21%；若主要客户采购节奏、招投标结果或付款安排发生变化，可能对收入和现金流造成较大影响。</w:t>
      </w:r>
    </w:p>
    <w:p>
      <w:pPr>
        <w:pStyle w:val="ListParagraph"/>
        <w:numPr>
          <w:ilvl w:val="0"/>
          <w:numId w:val="2"/>
        </w:numPr>
        <w:spacing w:after="80" w:line="280"/>
      </w:pPr>
      <w:r>
        <w:rPr>
          <w:sz w:val="22"/>
          <w:szCs w:val="22"/>
        </w:rPr>
        <w:t xml:space="preserve">应收账款和回款压力较大：2025年末应收账款账面价值为4.0773亿元，约为当年营业收入的84.2%，应收账款周转率由2024年的1.73降至1.34；2026年上半年经营活动现金流净额为-1,490.84万元，收入增长可能继续伴随较高资金占用。</w:t>
      </w:r>
    </w:p>
    <w:p>
      <w:pPr>
        <w:pStyle w:val="ListParagraph"/>
        <w:numPr>
          <w:ilvl w:val="0"/>
          <w:numId w:val="2"/>
        </w:numPr>
        <w:spacing w:after="80" w:line="280"/>
      </w:pPr>
      <w:r>
        <w:rPr>
          <w:sz w:val="22"/>
          <w:szCs w:val="22"/>
        </w:rPr>
        <w:t xml:space="preserve">产品结构下沉压低盈利：2026年上半年煤矿辅助运输设备收入同比增长27.36%，但毛利率降至26.49%；同期橡塑新材料收入下降0.84%，维修服务收入下降49.37%。若低毛利设备业务继续快于高毛利橡塑业务增长，综合毛利率和净利率可能进一步承压。</w:t>
      </w:r>
    </w:p>
    <w:p>
      <w:pPr>
        <w:pStyle w:val="ListParagraph"/>
        <w:numPr>
          <w:ilvl w:val="0"/>
          <w:numId w:val="2"/>
        </w:numPr>
        <w:spacing w:after="80" w:line="280"/>
      </w:pPr>
      <w:r>
        <w:rPr>
          <w:sz w:val="22"/>
          <w:szCs w:val="22"/>
        </w:rPr>
        <w:t xml:space="preserve">煤炭及煤机行业暴露度较高：公司煤矿辅助运输设备、维修服务和其他矿用配件均受到煤矿固定资产投资、煤价、综采工作面建设及客户采购节奏影响；行业景气度或资本开支变化可能影响订单确认。</w:t>
      </w:r>
    </w:p>
    <w:p>
      <w:pPr>
        <w:pStyle w:val="ListParagraph"/>
        <w:numPr>
          <w:ilvl w:val="0"/>
          <w:numId w:val="2"/>
        </w:numPr>
        <w:spacing w:after="80" w:line="280"/>
      </w:pPr>
      <w:r>
        <w:rPr>
          <w:sz w:val="22"/>
          <w:szCs w:val="22"/>
        </w:rPr>
        <w:t xml:space="preserve">原材料成本存在挤压风险：公司采购聚氨酯预聚体、橡胶、聚甲醛、助剂、钢丝、管接头及发动机等材料和零部件，部分原材料属于价格接受者；若成本上涨而公司无法及时向下游传导，可能压缩橡塑产品和设备业务毛利率。</w:t>
      </w:r>
    </w:p>
    <w:p>
      <w:pPr>
        <w:pStyle w:val="ListParagraph"/>
        <w:numPr>
          <w:ilvl w:val="0"/>
          <w:numId w:val="2"/>
        </w:numPr>
        <w:spacing w:after="80" w:line="280"/>
      </w:pPr>
      <w:r>
        <w:rPr>
          <w:sz w:val="22"/>
          <w:szCs w:val="22"/>
        </w:rPr>
        <w:t xml:space="preserve">募投项目建设进度和延期风险：截至2026年6月30日，研发中心项目累计投入进度为24.57%，军民两用新型合成材料液压管生产线项目投入进度为20.11%；研发中心项目已延期至2028年12月31日，项目建设、产能释放及新产品商业化进度存在不及预期的可能。</w:t>
      </w:r>
    </w:p>
    <w:p>
      <w:pPr>
        <w:pStyle w:val="ListParagraph"/>
        <w:numPr>
          <w:ilvl w:val="0"/>
          <w:numId w:val="2"/>
        </w:numPr>
        <w:spacing w:after="80" w:line="280"/>
      </w:pPr>
      <w:r>
        <w:rPr>
          <w:sz w:val="22"/>
          <w:szCs w:val="22"/>
        </w:rPr>
        <w:t xml:space="preserve">新业务研发投入转化存在不确定性：公司正在布局军工、数据中心液冷、低空经济、煤机密封和胶管材料改性等领域，但2026年上半年研发投入增加已对利润形成压力，相关研发能否形成订单和规模化收入尚未得到业绩验证。</w:t>
      </w:r>
    </w:p>
    <w:p>
      <w:pPr>
        <w:pStyle w:val="ListParagraph"/>
        <w:numPr>
          <w:ilvl w:val="0"/>
          <w:numId w:val="2"/>
        </w:numPr>
        <w:spacing w:after="80" w:line="280"/>
      </w:pPr>
      <w:r>
        <w:rPr>
          <w:sz w:val="22"/>
          <w:szCs w:val="22"/>
        </w:rPr>
        <w:t xml:space="preserve">公司治理与信息披露曾存在监管风险：陕西证监局于2025年9月1日对公司及相关责任人采取警示函措施，涉及募集资金专项账户审批、诉讼事项及对外担保披露不完整等问题；若后续内部控制和信息披露整改不到位，可能带来持续监管及合规风险。</w:t>
      </w:r>
    </w:p>
    <w:p>
      <w:pPr>
        <w:pStyle w:val="ListParagraph"/>
        <w:numPr>
          <w:ilvl w:val="0"/>
          <w:numId w:val="2"/>
        </w:numPr>
        <w:spacing w:after="80" w:line="280"/>
      </w:pPr>
      <w:r>
        <w:rPr>
          <w:sz w:val="22"/>
          <w:szCs w:val="22"/>
        </w:rPr>
        <w:t xml:space="preserve">股东减持和流动性风险：持股5%以上股东宁波合恩伟业于2026年6月至7月期间减持，持股比例由6.6827%降至5.0000%，后续还披露过继续减持情况；公司总市值约14.67亿元、流通市值约9.99亿元，近期成交额波动较大，筹码集中和流动性相对有限可能放大股价波动。</w:t>
      </w:r>
    </w:p>
    <w:p>
      <w:pPr>
        <w:pStyle w:val="ListParagraph"/>
        <w:numPr>
          <w:ilvl w:val="0"/>
          <w:numId w:val="2"/>
        </w:numPr>
        <w:spacing w:after="80" w:line="280"/>
      </w:pPr>
      <w:r>
        <w:rPr>
          <w:sz w:val="22"/>
          <w:szCs w:val="22"/>
        </w:rPr>
        <w:t xml:space="preserve">技术面仍偏弱且估值依赖业绩兑现：2026年9月11日股价18.03元，跌破MA5、MA10、MA20估算值及布林中轨，9月2日放量冲高后持续回落；同时按开源证券预测，18元左右股价对应2026年预测市盈率约25—29倍，若利润预测下修或兑现不及预期，估值和股价可能承受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煤矿设备更新、大采高及超长工作面趋势、煤矿安全标准提升，以及高端密封件、液压软管、军工橡塑、液冷等新应用拓展。同时，公司将零部件、整车和后市场服务结合，理论上有助于提升客户黏性和业务覆盖。不过，当前业绩尚未体现出上述方向的利润贡献，2026年上半年仍表现为增收不增利。</w:t>
      </w:r>
    </w:p>
    <w:p>
      <w:pPr>
        <w:spacing w:after="160" w:line="300"/>
      </w:pPr>
      <w:r>
        <w:rPr>
          <w:sz w:val="22"/>
          <w:szCs w:val="22"/>
        </w:rPr>
        <w:t xml:space="preserve">后续经营改善的关键在于橡塑新材料收入恢复增长并维持较高毛利率、辅助运输设备业务改善成本控制和盈利水平、维修租赁及配件业务提升变现能力，并推动募投项目按计划落地。开源证券预测2026—2028年收入约为5.22亿元、5.73亿元和6.33亿元，归母净利润约为0.65亿元、0.74亿元和0.85亿元，但不同机构及不同版本预测差异较大，利润预测仍存在较高不确定性。</w:t>
      </w:r>
    </w:p>
    <w:p>
      <w:pPr>
        <w:spacing w:after="160" w:line="300"/>
      </w:pPr>
      <w:r>
        <w:rPr>
          <w:sz w:val="22"/>
          <w:szCs w:val="22"/>
        </w:rPr>
        <w:t xml:space="preserve">公司还需要改善营运资金效率。2025年末应收账款账面价值4.0773亿元，占总资产约33.88%，约为全年营业收入的84.2%，应收账款周转率由2024年的1.73降至1.34；前五大客户销售额占比53.80%。结合当前经营现金流为负、客户议价能力较强及股价技术形态偏弱，未来应重点观察回款、毛利率、设备订单质量、募投项目进度和量价变化，而不能仅依据收入增长判断经营质量。</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北京证券交易所上市公司列表 — https://zh.wikipedia.org/wiki/%E5%8C%97%E4%BA%AC%E8%AF%81%E5%88%B8%E4%BA%A4%E6%98%93%E6%89%80%E4%B8%8A%E5%B8%82%E5%85%AC%E5%8F%B8%E5%88%97%E8%A1%A8?utm_source=openai</w:t>
      </w:r>
    </w:p>
    <w:p>
      <w:pPr>
        <w:spacing w:after="200"/>
      </w:pPr>
      <w:r>
        <w:rPr>
          <w:i/>
          <w:iCs/>
          <w:color w:val="595959"/>
          <w:sz w:val="18"/>
          <w:szCs w:val="18"/>
        </w:rPr>
        <w:t xml:space="preserve">国新证券股份有限公司 — https://pdf.dfcfw.com/pdf/H2_AN202411121640840204_1.pdf?utm_source=openai</w:t>
      </w:r>
    </w:p>
    <w:p>
      <w:pPr>
        <w:spacing w:after="200"/>
      </w:pPr>
      <w:r>
        <w:rPr>
          <w:i/>
          <w:iCs/>
          <w:color w:val="595959"/>
          <w:sz w:val="18"/>
          <w:szCs w:val="18"/>
        </w:rPr>
        <w:t xml:space="preserve">科隆新材(920098)_公司公告_科隆新材：2025年年度报告新浪财经_新浪网 — https://money.finance.sina.com.cn/corp/view/vCB_AllBulletinDetail.php?id=12101717&amp;stockid=920098&amp;utm_source=openai</w:t>
      </w:r>
    </w:p>
    <w:p>
      <w:pPr>
        <w:spacing w:after="200"/>
      </w:pPr>
      <w:r>
        <w:rPr>
          <w:i/>
          <w:iCs/>
          <w:color w:val="595959"/>
          <w:sz w:val="18"/>
          <w:szCs w:val="18"/>
        </w:rPr>
        <w:t xml:space="preserve">科隆新材(920098)_公司公告_科隆新材：2025年董事会工作报告新浪财经_新浪网 — https://money.finance.sina.com.cn/corp/view/vCB_AllBulletinDetail.php?id=12101734&amp;stockid=920098&amp;utm_source=openai</w:t>
      </w:r>
    </w:p>
    <w:p>
      <w:pPr>
        <w:spacing w:after="200"/>
      </w:pPr>
      <w:r>
        <w:rPr>
          <w:i/>
          <w:iCs/>
          <w:color w:val="595959"/>
          <w:sz w:val="18"/>
          <w:szCs w:val="18"/>
        </w:rPr>
        <w:t xml:space="preserve">科隆新材(920098)_公司公告_科隆新材：2025年年度报告新浪财经_新浪网 — https://money.finance.sina.com.cn/corp/view/vCB_AllBulletinDetail.php?id=12101717&amp;stockid=920098</w:t>
      </w:r>
    </w:p>
    <w:p>
      <w:pPr>
        <w:spacing w:after="200"/>
      </w:pPr>
      <w:r>
        <w:rPr>
          <w:i/>
          <w:iCs/>
          <w:color w:val="595959"/>
          <w:sz w:val="18"/>
          <w:szCs w:val="18"/>
        </w:rPr>
        <w:t xml:space="preserve">科隆新材(920098)_公司公告_科隆新材：2025年年度报告摘要新浪财经_新浪网 — https://vip.stock.finance.sina.com.cn/corp/view/vCB_AllBulletinDetail.php?id=12101718&amp;stockid=920098</w:t>
      </w:r>
    </w:p>
    <w:p>
      <w:pPr>
        <w:spacing w:after="200"/>
      </w:pPr>
      <w:r>
        <w:rPr>
          <w:i/>
          <w:iCs/>
          <w:color w:val="595959"/>
          <w:sz w:val="18"/>
          <w:szCs w:val="18"/>
        </w:rPr>
        <w:t xml:space="preserve">科隆新材(920098)_公司公告_科隆新材：2024年年度报告新浪财经_新浪网 — https://money.finance.sina.com.cn/corp/view/vCB_AllBulletinDetail.php?id=10998095&amp;stockid=920098&amp;utm_source=openai</w:t>
      </w:r>
    </w:p>
    <w:p>
      <w:pPr>
        <w:spacing w:after="200"/>
      </w:pPr>
      <w:r>
        <w:rPr>
          <w:i/>
          <w:iCs/>
          <w:color w:val="595959"/>
          <w:sz w:val="18"/>
          <w:szCs w:val="18"/>
        </w:rPr>
        <w:t xml:space="preserve">科隆新材(920098)_公司公告_科隆新材：招股说明书新浪财经_新浪网 — https://money.finance.sina.com.cn/corp/view/vCB_AllBulletinDetail.php?id=10606602&amp;stockid=920098</w:t>
      </w:r>
    </w:p>
    <w:p>
      <w:pPr>
        <w:spacing w:after="200"/>
      </w:pPr>
      <w:r>
        <w:rPr>
          <w:i/>
          <w:iCs/>
          <w:color w:val="595959"/>
          <w:sz w:val="18"/>
          <w:szCs w:val="18"/>
        </w:rPr>
        <w:t xml:space="preserve">科隆新材(920098)_公司公告_科隆新材：2023年年度报告新浪财经_新浪网 — https://vip.stock.finance.sina.com.cn/corp/view/vCB_AllBulletinDetail.php?id=10051833&amp;stockid=920098&amp;utm_source=openai</w:t>
      </w:r>
    </w:p>
    <w:p>
      <w:pPr>
        <w:spacing w:after="200"/>
      </w:pPr>
      <w:r>
        <w:rPr>
          <w:i/>
          <w:iCs/>
          <w:color w:val="595959"/>
          <w:sz w:val="18"/>
          <w:szCs w:val="18"/>
        </w:rPr>
        <w:t xml:space="preserve">https://dataclouds.cninfo.com.cn/sjother/bse_onmarket/2025/20250825/bbd8734581aa11f082f9fa163ee65716.pdf — https://dataclouds.cninfo.com.cn/sjother/bse_onmarket/2025/20250825/bbd8734581aa11f082f9fa163ee65716.pdf</w:t>
      </w:r>
    </w:p>
    <w:p>
      <w:pPr>
        <w:spacing w:after="200"/>
      </w:pPr>
      <w:r>
        <w:rPr>
          <w:i/>
          <w:iCs/>
          <w:color w:val="595959"/>
          <w:sz w:val="18"/>
          <w:szCs w:val="18"/>
        </w:rPr>
        <w:t xml:space="preserve">关于我们-企业官网 — https://www.snkelong.com/gywm?utm_source=openai</w:t>
      </w:r>
    </w:p>
    <w:p>
      <w:pPr>
        <w:spacing w:after="200"/>
      </w:pPr>
      <w:r>
        <w:rPr>
          <w:i/>
          <w:iCs/>
          <w:color w:val="595959"/>
          <w:sz w:val="18"/>
          <w:szCs w:val="18"/>
        </w:rPr>
        <w:t xml:space="preserve">科隆新材(920098)_公司公告_科隆新材：募投项目延期公告新浪财经_新浪网 — https://money.finance.sina.com.cn/corp/view/vCB_AllBulletinDetail.php?id=12569496&amp;stockid=920098&amp;utm_source=openai</w:t>
      </w:r>
    </w:p>
    <w:p>
      <w:pPr>
        <w:spacing w:after="200"/>
      </w:pPr>
      <w:r>
        <w:rPr>
          <w:i/>
          <w:iCs/>
          <w:color w:val="595959"/>
          <w:sz w:val="18"/>
          <w:szCs w:val="18"/>
        </w:rPr>
        <w:t xml:space="preserve">科隆新材: 2026年半年度报告摘要_股票频道_证券之星 — https://stock.stockstar.com/notice/SN2026082800052486.shtml?utm_source=openai</w:t>
      </w:r>
    </w:p>
    <w:p>
      <w:pPr>
        <w:spacing w:after="200"/>
      </w:pPr>
      <w:r>
        <w:rPr>
          <w:i/>
          <w:iCs/>
          <w:color w:val="595959"/>
          <w:sz w:val="18"/>
          <w:szCs w:val="18"/>
        </w:rPr>
        <w:t xml:space="preserve">开源证券：给予科隆新材增持评级_股票频道_证券之星 — https://stock.stockstar.com/RB2026090400019421.shtml?utm_source=openai</w:t>
      </w:r>
    </w:p>
    <w:p>
      <w:pPr>
        <w:spacing w:after="200"/>
      </w:pPr>
      <w:r>
        <w:rPr>
          <w:i/>
          <w:iCs/>
          <w:color w:val="595959"/>
          <w:sz w:val="18"/>
          <w:szCs w:val="18"/>
        </w:rPr>
        <w:t xml:space="preserve">科隆新材  
KELONG NEW MATERIALS
2026年第一季度报告  
FIRST Q — https://www.bse.cn/disclosure/2026/2026-04-29/33e891bf91c0426b80f5a7faa6ceaba7.pdf?utm_source=openai</w:t>
      </w:r>
    </w:p>
    <w:p>
      <w:pPr>
        <w:spacing w:after="200"/>
      </w:pPr>
      <w:r>
        <w:rPr>
          <w:i/>
          <w:iCs/>
          <w:color w:val="595959"/>
          <w:sz w:val="18"/>
          <w:szCs w:val="18"/>
        </w:rPr>
        <w:t xml:space="preserve">华源证券 - 财报，业绩电话会，研报，新闻 - Reportify — https://reportify.cn/channels/Z0000010000000072/documents?page=1&amp;utm_source=openai</w:t>
      </w:r>
    </w:p>
    <w:p>
      <w:pPr>
        <w:spacing w:after="200"/>
      </w:pPr>
      <w:r>
        <w:rPr>
          <w:i/>
          <w:iCs/>
          <w:color w:val="595959"/>
          <w:sz w:val="18"/>
          <w:szCs w:val="18"/>
        </w:rPr>
        <w:t xml:space="preserve">科隆新材(920098)投资评级,科隆新材(920098)最新评级_证劵之星 — https://stock.quote.stockstar.com/corp/rating_920098.shtml?utm_source=openai</w:t>
      </w:r>
    </w:p>
    <w:p>
      <w:pPr>
        <w:spacing w:after="200"/>
      </w:pPr>
      <w:r>
        <w:rPr>
          <w:i/>
          <w:iCs/>
          <w:color w:val="595959"/>
          <w:sz w:val="18"/>
          <w:szCs w:val="18"/>
        </w:rPr>
        <w:t xml:space="preserve">科隆新材(920098) 盈利预测_F10_同花顺金融服务网 — https://basic.10jqka.com.cn/920098/worth.html?utm_source=openai</w:t>
      </w:r>
    </w:p>
    <w:p>
      <w:pPr>
        <w:spacing w:after="200"/>
      </w:pPr>
      <w:r>
        <w:rPr>
          <w:i/>
          <w:iCs/>
          <w:color w:val="595959"/>
          <w:sz w:val="18"/>
          <w:szCs w:val="18"/>
        </w:rPr>
        <w:t xml:space="preserve">科隆新材 (920098) - 历史交易数据 | 打板客网 — https://dabanke.com/hangqing-920098.html?utm_source=openai</w:t>
      </w:r>
    </w:p>
    <w:p>
      <w:pPr>
        <w:spacing w:after="200"/>
      </w:pPr>
      <w:r>
        <w:rPr>
          <w:i/>
          <w:iCs/>
          <w:color w:val="595959"/>
          <w:sz w:val="18"/>
          <w:szCs w:val="18"/>
        </w:rPr>
        <w:t xml:space="preserve">相关公告 - 北京证券交易所 — https://www.bse.cn/products/neeq_listed_companies/related_announcement.html?companyCode=920098&amp;typename=C&amp;xxfcbj=2&amp;utm_source=openai</w:t>
      </w:r>
    </w:p>
    <w:p>
      <w:pPr>
        <w:spacing w:after="200"/>
      </w:pPr>
      <w:r>
        <w:rPr>
          <w:i/>
          <w:iCs/>
          <w:color w:val="595959"/>
          <w:sz w:val="18"/>
          <w:szCs w:val="18"/>
        </w:rPr>
        <w:t xml:space="preserve">科隆新材(920098)公司公告_新浪财经_新浪网 — https://money.finance.sina.com.cn/corp/go.php/vCB_AllBulletin/stockid/920098.phtml?utm_source=openai</w:t>
      </w:r>
    </w:p>
    <w:p>
      <w:pPr>
        <w:spacing w:after="200"/>
      </w:pPr>
      <w:r>
        <w:rPr>
          <w:i/>
          <w:iCs/>
          <w:color w:val="595959"/>
          <w:sz w:val="18"/>
          <w:szCs w:val="18"/>
        </w:rPr>
        <w:t xml:space="preserve">科隆新材(920098) 公司大事_F10_同花顺金融服务网 — https://basic.10jqka.com.cn/920098/event.html?utm_source=openai</w:t>
      </w:r>
    </w:p>
    <w:p>
      <w:pPr>
        <w:spacing w:after="200"/>
      </w:pPr>
      <w:r>
        <w:rPr>
          <w:i/>
          <w:iCs/>
          <w:color w:val="595959"/>
          <w:sz w:val="18"/>
          <w:szCs w:val="18"/>
        </w:rPr>
        <w:t xml:space="preserve">科隆新材: 2026年半年度报告_股票频道_证券之星 — https://stock.stockstar.com/notice/SN2026082800052488.shtml?utm_source=openai</w:t>
      </w:r>
    </w:p>
    <w:p>
      <w:pPr>
        <w:spacing w:after="200"/>
      </w:pPr>
      <w:r>
        <w:rPr>
          <w:i/>
          <w:iCs/>
          <w:color w:val="595959"/>
          <w:sz w:val="18"/>
          <w:szCs w:val="18"/>
        </w:rPr>
        <w:t xml:space="preserve">科隆新材2026年上半年营收2.28亿元增5.56% 多元赛道布局筑牢长期成长确定性_新浪财经_新浪网 — https://finance.sina.com.cn/stock/aigc/agcbld/2026-08-28/doc-inipwtfp5827161.shtml?utm_source=openai</w:t>
      </w:r>
    </w:p>
    <w:p>
      <w:pPr>
        <w:spacing w:after="200"/>
      </w:pPr>
      <w:r>
        <w:rPr>
          <w:i/>
          <w:iCs/>
          <w:color w:val="595959"/>
          <w:sz w:val="18"/>
          <w:szCs w:val="18"/>
        </w:rPr>
        <w:t xml:space="preserve">证券代码：920098　　证券简称：科隆新材　　公告编号：2026-060 — https://static.cninfo.com.cn/finalpage/2026-07-22/1225436725.PDF?utm_source=openai</w:t>
      </w:r>
    </w:p>
    <w:p>
      <w:pPr>
        <w:spacing w:after="200"/>
      </w:pPr>
      <w:r>
        <w:rPr>
          <w:i/>
          <w:iCs/>
          <w:color w:val="595959"/>
          <w:sz w:val="18"/>
          <w:szCs w:val="18"/>
        </w:rPr>
        <w:t xml:space="preserve">证券代码：920098        证券简称：科隆新材        公告编号：2026-046 — https://dataclouds.cninfo.com.cn/sjother2/bse_onmarket/2026/20260420/22c5d2a79fd0493d9bd556f3abb351c7.pdf?utm_source=openai</w:t>
      </w:r>
    </w:p>
    <w:p>
      <w:pPr>
        <w:spacing w:after="200"/>
      </w:pPr>
      <w:r>
        <w:rPr>
          <w:i/>
          <w:iCs/>
          <w:color w:val="595959"/>
          <w:sz w:val="18"/>
          <w:szCs w:val="18"/>
        </w:rPr>
        <w:t xml:space="preserve">陕西科隆新材料科技股份有限公司 — https://pdf.dfcfw.com/pdf/H2_AN202411221641028753_1.pdf?utm_source=openai</w:t>
      </w:r>
    </w:p>
    <w:p>
      <w:pPr>
        <w:spacing w:after="200"/>
      </w:pPr>
      <w:r>
        <w:rPr>
          <w:i/>
          <w:iCs/>
          <w:color w:val="595959"/>
          <w:sz w:val="18"/>
          <w:szCs w:val="18"/>
        </w:rPr>
        <w:t xml:space="preserve">关于对陕西科隆新材料科技股份有限公司及邹威文、任瑞婷采取出具警示函措施的决定_陕西监管局 — https://www.csrc.gov.cn/shaanxi/c104628/c7582203/content.shtml?utm_source=openai</w:t>
      </w:r>
    </w:p>
    <w:p>
      <w:pPr>
        <w:spacing w:after="200"/>
      </w:pPr>
      <w:r>
        <w:rPr>
          <w:i/>
          <w:iCs/>
          <w:color w:val="595959"/>
          <w:sz w:val="18"/>
          <w:szCs w:val="18"/>
        </w:rPr>
        <w:t xml:space="preserve">科隆新材(920098)_公司公告_科隆新材：2026年半年度募集资金存放、管理与实际使用情况的专项报告新浪财经_新浪网 — https://money.finance.sina.com.cn/corp/view/vCB_AllBulletinDetail.php?id=12569498&amp;stockid=920098&amp;utm_source=openai</w:t>
      </w:r>
    </w:p>
    <w:p>
      <w:pPr>
        <w:spacing w:after="200"/>
      </w:pPr>
      <w:r>
        <w:rPr>
          <w:i/>
          <w:iCs/>
          <w:color w:val="595959"/>
          <w:sz w:val="18"/>
          <w:szCs w:val="18"/>
        </w:rPr>
        <w:t xml:space="preserve">科隆新材(920098)_公司公告_科隆新材：2026年半年度报告新浪财经_新浪网 — https://money.finance.sina.com.cn/corp/view/vCB_AllBulletinDetail.php?id=12569494&amp;stockid=920098&amp;utm_source=openai</w:t>
      </w:r>
    </w:p>
    <w:p>
      <w:pPr>
        <w:spacing w:after="200"/>
      </w:pPr>
      <w:r>
        <w:rPr>
          <w:i/>
          <w:iCs/>
          <w:color w:val="595959"/>
          <w:sz w:val="18"/>
          <w:szCs w:val="18"/>
        </w:rPr>
        <w:t xml:space="preserve">科隆新材(BJ920098)股票股价_股价行情_财报_数据报告 - 雪球 — https://xueqiu.com/S/BJ920098?from=status_stock_match&amp;utm_source=openai</w:t>
      </w:r>
    </w:p>
    <w:p>
      <w:pPr>
        <w:spacing w:after="200"/>
      </w:pPr>
      <w:r>
        <w:rPr>
          <w:i/>
          <w:iCs/>
          <w:color w:val="595959"/>
          <w:sz w:val="18"/>
          <w:szCs w:val="18"/>
        </w:rPr>
        <w:t xml:space="preserve">科隆新材(920098)_股票行情，行情首页_中财网 — https://quote.cfi.cn/quote175048_920098.html?utm_source=openai</w:t>
      </w:r>
    </w:p>
    <w:p>
      <w:pPr>
        <w:spacing w:after="200"/>
      </w:pPr>
      <w:r>
        <w:rPr>
          <w:i/>
          <w:iCs/>
          <w:color w:val="595959"/>
          <w:sz w:val="18"/>
          <w:szCs w:val="18"/>
        </w:rPr>
        <w:t xml:space="preserve">科隆新材(920098.BJ) 股票行情_历史数据_主力资金 - 大波浪数据 — https://www.yyqyx.com/s/920098.BJ?utm_source=openai</w:t>
      </w:r>
    </w:p>
    <w:p>
      <w:pPr>
        <w:spacing w:after="200"/>
      </w:pPr>
      <w:r>
        <w:rPr>
          <w:i/>
          <w:iCs/>
          <w:color w:val="595959"/>
          <w:sz w:val="18"/>
          <w:szCs w:val="18"/>
        </w:rPr>
        <w:t xml:space="preserve">科隆新材(920098) 最新动态_F10_同花顺金融服务网 — https://basic.10jqka.com.cn/920098/</w:t>
      </w:r>
    </w:p>
    <w:p>
      <w:pPr>
        <w:spacing w:after="200"/>
      </w:pPr>
      <w:r>
        <w:rPr>
          <w:i/>
          <w:iCs/>
          <w:color w:val="595959"/>
          <w:sz w:val="18"/>
          <w:szCs w:val="18"/>
        </w:rPr>
        <w:t xml:space="preserve">科隆新材(920098)_公司公告_科隆新材：2026年一季度报告新浪财经_新浪网 — https://money.finance.sina.com.cn/corp/view/vCB_AllBulletinDetail.php?id=12282462&amp;stockid=920098</w:t>
      </w:r>
    </w:p>
    <w:p>
      <w:pPr>
        <w:spacing w:after="200"/>
      </w:pPr>
      <w:r>
        <w:rPr>
          <w:i/>
          <w:iCs/>
          <w:color w:val="595959"/>
          <w:sz w:val="18"/>
          <w:szCs w:val="18"/>
        </w:rPr>
        <w:t xml:space="preserve">本报告由AI基于公开渠道信息自动检索、整理并生成，信息截至 截至2026年9月11日收盘；MA、MACD、RSI、布林带及主力资金数据主要截至2026年9月10日，股东结构数据截至2026年3月31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2026-09-13T12:15:53.935Z</dcterms:created>
  <dcterms:modified xsi:type="dcterms:W3CDTF">2026-09-13T12:15:53.935Z</dcterms:modified>
</cp:coreProperties>
</file>

<file path=docProps/custom.xml><?xml version="1.0" encoding="utf-8"?>
<Properties xmlns="http://schemas.openxmlformats.org/officeDocument/2006/custom-properties" xmlns:vt="http://schemas.openxmlformats.org/officeDocument/2006/docPropsVTypes"/>
</file>