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Hesai Group（禾赛集团） (HSAI)</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行业：LiDAR及3D环境感知解决方案</w:t>
      </w:r>
    </w:p>
    <w:p>
      <w:pPr>
        <w:jc w:val="center"/>
      </w:pPr>
      <w:r>
        <w:rPr>
          <w:color w:val="595959"/>
          <w:sz w:val="22"/>
          <w:szCs w:val="22"/>
        </w:rPr>
        <w:t xml:space="preserve">报告日期：2026年9月13日</w:t>
      </w:r>
    </w:p>
    <w:p>
      <w:pPr>
        <w:jc w:val="center"/>
      </w:pPr>
      <w:r>
        <w:rPr>
          <w:color w:val="595959"/>
          <w:sz w:val="20"/>
          <w:szCs w:val="20"/>
        </w:rPr>
        <w:t xml:space="preserve">数据截至2026年9月11日美股收盘；2026年9月13日为周日，下一交易日尚未开盘。HSAI为Hesai Group在NASDAQ Global Select Market交易的ADS，1 ADS代表1股Class B普通股。</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Hesai Group（NASDAQ: HSAI）已从2024年人民币1.024亿元净亏损转为2025年GAAP净利润人民币4.359亿元（约USD62.3 million），2025年净收入人民币30.276亿元（约USD432.9 million），LiDAR出货量达到1,620,406台，同比增长222.9%。截至2026年第二季度，公司连续第五个季度实现GAAP盈利，季度收入为人民币8.608亿元（约USD126.9 million），同比增长21.9%，GAAP净利润为人民币7060万元（约USD10.4 million），同比增长60.0%。不过，2026年第二季度毛利率由上年同期的42.5%降至40.1%，显示规模增长仍伴随平均售价下降和利润率压力。</w:t>
      </w:r>
    </w:p>
    <w:p>
      <w:pPr>
        <w:spacing w:after="160" w:line="300"/>
      </w:pPr>
      <w:r>
        <w:rPr>
          <w:sz w:val="22"/>
          <w:szCs w:val="22"/>
        </w:rPr>
        <w:t xml:space="preserve">公司的核心增长来自ADAS和机器人LiDAR放量。2026年上半年收入为人民币15.414亿元（约USD227.2 million），同比增长25.1%；ADAS及机器人LiDAR出货量分别同比增长87%和165%。公司预计2026年第三季度收入为人民币11.00亿至11.50亿元（约USD162 million至USD169 million），同比增长约38%至45%，并计划扩大机器人、具身智能及相关制造服务业务。公司同时拥有人民币70.506亿元（约USD1.039 billion）的现金储备，负债为人民币20.535亿元（约USD302.6 million），财务上处于明显净现金状态。</w:t>
      </w:r>
    </w:p>
    <w:p>
      <w:pPr>
        <w:spacing w:after="160" w:line="300"/>
      </w:pPr>
      <w:r>
        <w:rPr>
          <w:sz w:val="22"/>
          <w:szCs w:val="22"/>
        </w:rPr>
        <w:t xml:space="preserve">盈利质量和估值仍需结合经营指标观察。2025年材料及零部件成本占收入41.3%，汽车级芯片、激光器和接收器等关键部件可能面临供应及价格波动；LiDAR平均售价由2024年的约USD530/台降至2025年的约USD260/台。2025年末应收账款净额升至人民币12.622亿元（约USD180.5 million），应收账款、合同资产及应收票据合计周转天数升至137天，客户信用期延长对现金流形成占用。截至2026年9月11日股价为USD17.31，TTM市盈率约36.86倍、Forward P/E约23.55倍，市场估值已包含对未来收入和利润持续快速增长的较高预期。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NASDAQ: HSAI；香港交易所：2525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每股ADS代表一股Class B普通股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开曼群岛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2014年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核心经营实体</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上海禾赛科技及其中国、美国等地子公司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2025年净收入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人民币30.276亿元，按公司年报汇率折合约4.329亿美元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人民币4.359亿元，按公司年报汇率折合约6233万美元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2025年LiDAR出货量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1,620,406台，同比增长222.9%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主要信息依据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公司截至2025年12月31日的20-F及2025年年报资料；具体来源为SEC EDGAR及公司Investor Relations页面</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ADAS汽车激光雷达：AT系列前向远距离LiDAR、ET系列L3/L4远距离LiDAR及FT系列盲区探测LiDAR</w:t>
      </w:r>
    </w:p>
    <w:p>
      <w:pPr>
        <w:pStyle w:val="ListParagraph"/>
        <w:numPr>
          <w:ilvl w:val="0"/>
          <w:numId w:val="2"/>
        </w:numPr>
        <w:spacing w:after="80" w:line="280"/>
      </w:pPr>
      <w:r>
        <w:rPr>
          <w:sz w:val="22"/>
          <w:szCs w:val="22"/>
        </w:rPr>
        <w:t xml:space="preserve">自动驾驶出行和Robotaxi：Pandar系列及OT系列，面向L4自动驾驶、Robotaxi、工业自动化和港口物流等应用</w:t>
      </w:r>
    </w:p>
    <w:p>
      <w:pPr>
        <w:pStyle w:val="ListParagraph"/>
        <w:numPr>
          <w:ilvl w:val="0"/>
          <w:numId w:val="2"/>
        </w:numPr>
        <w:spacing w:after="80" w:line="280"/>
      </w:pPr>
      <w:r>
        <w:rPr>
          <w:sz w:val="22"/>
          <w:szCs w:val="22"/>
        </w:rPr>
        <w:t xml:space="preserve">机器人和工业自动化：XT、JT及部分Pandar、OT产品，应用于配送机器人、仓储物流、自动移动机器人、服务机器人、清洁机器人、割草机器人、工业车辆、农业机械及智慧工厂</w:t>
      </w:r>
    </w:p>
    <w:p>
      <w:pPr>
        <w:pStyle w:val="ListParagraph"/>
        <w:numPr>
          <w:ilvl w:val="0"/>
          <w:numId w:val="2"/>
        </w:numPr>
        <w:spacing w:after="80" w:line="280"/>
      </w:pPr>
      <w:r>
        <w:rPr>
          <w:sz w:val="22"/>
          <w:szCs w:val="22"/>
        </w:rPr>
        <w:t xml:space="preserve">气体检测和其他传感器：甲烷泄漏检测气体传感器及用于高端医疗呼吸机的氧气传感器，2025年气体检测产品收入约人民币320万元</w:t>
      </w:r>
    </w:p>
    <w:p>
      <w:pPr>
        <w:pStyle w:val="ListParagraph"/>
        <w:numPr>
          <w:ilvl w:val="0"/>
          <w:numId w:val="2"/>
        </w:numPr>
        <w:spacing w:after="80" w:line="280"/>
      </w:pPr>
      <w:r>
        <w:rPr>
          <w:sz w:val="22"/>
          <w:szCs w:val="22"/>
        </w:rPr>
        <w:t xml:space="preserve">工程设计、开发、验证服务及其他服务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Hesai位于“光电器件/芯片—LiDAR系统集成—汽车及机器人感知系统”产业链中游。公司通过自研ASIC、LiDAR系统设计、软件算法、自动化制造、生产测试和汽车级认证，将上游光学、电气、机械及半导体零部件转化为汽车级和机器人级3D环境感知产品。</w:t>
      </w:r>
    </w:p>
    <w:p>
      <w:pPr>
        <w:pStyle w:val="ListParagraph"/>
        <w:numPr>
          <w:ilvl w:val="0"/>
          <w:numId w:val="2"/>
        </w:numPr>
        <w:spacing w:after="80" w:line="280"/>
      </w:pPr>
      <w:r>
        <w:rPr>
          <w:sz w:val="22"/>
          <w:szCs w:val="22"/>
        </w:rPr>
        <w:t xml:space="preserve">主要采购内容包括机械零件、紧固件、包装材料和耗材、激光器、接收器、汽车级芯片、电子材料及其他光学组件。</w:t>
      </w:r>
    </w:p>
    <w:p>
      <w:pPr>
        <w:pStyle w:val="ListParagraph"/>
        <w:numPr>
          <w:ilvl w:val="0"/>
          <w:numId w:val="2"/>
        </w:numPr>
        <w:spacing w:after="80" w:line="280"/>
      </w:pPr>
      <w:r>
        <w:rPr>
          <w:sz w:val="22"/>
          <w:szCs w:val="22"/>
        </w:rPr>
        <w:t xml:space="preserve">2025年材料及零部件成本为人民币12.491亿元，约合1.786亿美元，占净收入41.3%；总营业成本为人民币17.625亿元，约合2.520亿美元，占净收入58.2%。材料及关键零部件是主要成本压力来源。</w:t>
      </w:r>
    </w:p>
    <w:p>
      <w:pPr>
        <w:pStyle w:val="ListParagraph"/>
        <w:numPr>
          <w:ilvl w:val="0"/>
          <w:numId w:val="2"/>
        </w:numPr>
        <w:spacing w:after="80" w:line="280"/>
      </w:pPr>
      <w:r>
        <w:rPr>
          <w:sz w:val="22"/>
          <w:szCs w:val="22"/>
        </w:rPr>
        <w:t xml:space="preserve">2023年至2025年不存在采购额占比超过10%的单一供应商，整体供应商集中度不高；但纪要未披露完整供应商名单及更细分的供应商份额。</w:t>
      </w:r>
    </w:p>
    <w:p>
      <w:pPr>
        <w:pStyle w:val="ListParagraph"/>
        <w:numPr>
          <w:ilvl w:val="0"/>
          <w:numId w:val="2"/>
        </w:numPr>
        <w:spacing w:after="80" w:line="280"/>
      </w:pPr>
      <w:r>
        <w:rPr>
          <w:sz w:val="22"/>
          <w:szCs w:val="22"/>
        </w:rPr>
        <w:t xml:space="preserve">普通机械件、包装件和部分电子元件通常存在中国及海外多个供应来源，公司具有一定供应商选择空间。</w:t>
      </w:r>
    </w:p>
    <w:p>
      <w:pPr>
        <w:pStyle w:val="ListParagraph"/>
        <w:numPr>
          <w:ilvl w:val="0"/>
          <w:numId w:val="2"/>
        </w:numPr>
        <w:spacing w:after="80" w:line="280"/>
      </w:pPr>
      <w:r>
        <w:rPr>
          <w:sz w:val="22"/>
          <w:szCs w:val="22"/>
        </w:rPr>
        <w:t xml:space="preserve">汽车级芯片、激光器和接收器等关键部件可能面临供应紧张、价格波动及较长供货周期，公司对这些零部件的议价能力相对有限，整体更接近部分关键器件成本的价格接受者。</w:t>
      </w:r>
    </w:p>
    <w:p>
      <w:pPr>
        <w:pStyle w:val="ListParagraph"/>
        <w:numPr>
          <w:ilvl w:val="0"/>
          <w:numId w:val="2"/>
        </w:numPr>
        <w:spacing w:after="80" w:line="280"/>
      </w:pPr>
      <w:r>
        <w:rPr>
          <w:sz w:val="22"/>
          <w:szCs w:val="22"/>
        </w:rPr>
        <w:t xml:space="preserve">公司通过自研ASIC、自动化制造和规模化生产部分抵消上游成本压力。截至2025年末已推出四代自研ASIC，16款自研芯片取得AEC-Q汽车级认证，累计交付量达到1.85亿颗。</w:t>
      </w:r>
    </w:p>
    <w:p>
      <w:pPr>
        <w:pStyle w:val="ListParagraph"/>
        <w:numPr>
          <w:ilvl w:val="0"/>
          <w:numId w:val="2"/>
        </w:numPr>
        <w:spacing w:after="80" w:line="280"/>
      </w:pPr>
      <w:r>
        <w:rPr>
          <w:sz w:val="22"/>
          <w:szCs w:val="22"/>
        </w:rPr>
        <w:t xml:space="preserve">公司通常维持约两周至一个月的内部安全库存，并根据零部件类型维持约一个月的外部安全库存；具体库存金额和各类别供应商集中度未在纪要中披露。</w:t>
      </w:r>
    </w:p>
    <w:p>
      <w:pPr>
        <w:pStyle w:val="ListParagraph"/>
        <w:numPr>
          <w:ilvl w:val="0"/>
          <w:numId w:val="2"/>
        </w:numPr>
        <w:spacing w:after="80" w:line="280"/>
      </w:pPr>
      <w:r>
        <w:rPr>
          <w:sz w:val="22"/>
          <w:szCs w:val="22"/>
        </w:rPr>
        <w:t xml:space="preserve">下游客户包括中国及海外汽车OEM、汽车Tier-1供应商、Robotaxi和自动驾驶运营商、机器人企业，以及仓储物流、港口、工业自动化、农业、服务机器人和智慧基础设施客户。</w:t>
      </w:r>
    </w:p>
    <w:p>
      <w:pPr>
        <w:pStyle w:val="ListParagraph"/>
        <w:numPr>
          <w:ilvl w:val="0"/>
          <w:numId w:val="2"/>
        </w:numPr>
        <w:spacing w:after="80" w:line="280"/>
      </w:pPr>
      <w:r>
        <w:rPr>
          <w:sz w:val="22"/>
          <w:szCs w:val="22"/>
        </w:rPr>
        <w:t xml:space="preserve">公司客户覆盖40多个国家，并在上海、美国帕洛阿尔托和德国斯图加特设有办公室。</w:t>
      </w:r>
    </w:p>
    <w:p>
      <w:pPr>
        <w:pStyle w:val="ListParagraph"/>
        <w:numPr>
          <w:ilvl w:val="0"/>
          <w:numId w:val="2"/>
        </w:numPr>
        <w:spacing w:after="80" w:line="280"/>
      </w:pPr>
      <w:r>
        <w:rPr>
          <w:sz w:val="22"/>
          <w:szCs w:val="22"/>
        </w:rPr>
        <w:t xml:space="preserve">前五大客户收入占比为：2023年67.5%、2024年59.9%、2025年55.8%。该数据来自公司20-F披露，已覆盖三个年度，但客户实名未披露，无法直接判断具体客户对应哪家汽车厂商。</w:t>
      </w:r>
    </w:p>
    <w:p>
      <w:pPr>
        <w:pStyle w:val="ListParagraph"/>
        <w:numPr>
          <w:ilvl w:val="0"/>
          <w:numId w:val="2"/>
        </w:numPr>
        <w:spacing w:after="80" w:line="280"/>
      </w:pPr>
      <w:r>
        <w:rPr>
          <w:sz w:val="22"/>
          <w:szCs w:val="22"/>
        </w:rPr>
        <w:t xml:space="preserve">某家中国新能源汽车制造商收入占比在2023年、2024年和2025年分别为25.6%、33.7%和14.7%；2025年收入占比超过10%的匿名客户包括客户A 14.7%、客户C 17.1%和客户D 10.0%。</w:t>
      </w:r>
    </w:p>
    <w:p>
      <w:pPr>
        <w:pStyle w:val="ListParagraph"/>
        <w:numPr>
          <w:ilvl w:val="0"/>
          <w:numId w:val="2"/>
        </w:numPr>
        <w:spacing w:after="80" w:line="280"/>
      </w:pPr>
      <w:r>
        <w:rPr>
          <w:sz w:val="22"/>
          <w:szCs w:val="22"/>
        </w:rPr>
        <w:t xml:space="preserve">2025年末，客户C和客户D分别占应收账款、合同资产及应收票据合计余额的12.5%和16.3%。客户名称经过匿名化处理，无法与具体OEM逐一对应。</w:t>
      </w:r>
    </w:p>
    <w:p>
      <w:pPr>
        <w:pStyle w:val="ListParagraph"/>
        <w:numPr>
          <w:ilvl w:val="0"/>
          <w:numId w:val="2"/>
        </w:numPr>
        <w:spacing w:after="80" w:line="280"/>
      </w:pPr>
      <w:r>
        <w:rPr>
          <w:sz w:val="22"/>
          <w:szCs w:val="22"/>
        </w:rPr>
        <w:t xml:space="preserve">汽车OEM和大型Tier-1客户采购规模大、认证周期长，通常具有较强采购议价能力；车型定点不一定最终转化为量产订单，客户持续要求降低单位采购价格，产品降价和新产品低价导入可能压缩供应商毛利率。</w:t>
      </w:r>
    </w:p>
    <w:p>
      <w:pPr>
        <w:pStyle w:val="ListParagraph"/>
        <w:numPr>
          <w:ilvl w:val="0"/>
          <w:numId w:val="2"/>
        </w:numPr>
        <w:spacing w:after="80" w:line="280"/>
      </w:pPr>
      <w:r>
        <w:rPr>
          <w:sz w:val="22"/>
          <w:szCs w:val="22"/>
        </w:rPr>
        <w:t xml:space="preserve">公司2025年LiDAR平均售价约为260美元/台，低于2024年的约530美元/台，主要由于低售价ADAS产品出货占比提高，反映出ADAS规模化市场存在明显价格压力。</w:t>
      </w:r>
    </w:p>
    <w:p>
      <w:pPr>
        <w:pStyle w:val="ListParagraph"/>
        <w:numPr>
          <w:ilvl w:val="0"/>
          <w:numId w:val="2"/>
        </w:numPr>
        <w:spacing w:after="80" w:line="280"/>
      </w:pPr>
      <w:r>
        <w:rPr>
          <w:sz w:val="22"/>
          <w:szCs w:val="22"/>
        </w:rPr>
        <w:t xml:space="preserve">Robotaxi客户相对更重视性能和可靠性，汽车客户尤其重视成本；公司的进一步放量仍取决于客户订单、车型销量、量产节奏和产品爬坡。</w:t>
      </w:r>
    </w:p>
    <w:p>
      <w:pPr>
        <w:pStyle w:val="ListParagraph"/>
        <w:numPr>
          <w:ilvl w:val="0"/>
          <w:numId w:val="2"/>
        </w:numPr>
        <w:spacing w:after="80" w:line="280"/>
      </w:pPr>
      <w:r>
        <w:rPr>
          <w:sz w:val="22"/>
          <w:szCs w:val="22"/>
        </w:rPr>
        <w:t xml:space="preserve">营运资金证据显示下游大客户对公司存在较强信用条件影响：应收账款净额由2023年的人民币5.248亿元升至2024年的人民币7.650亿元，并于2025年进一步升至人民币12.622亿元，约合1.805亿美元；应收账款、合同资产和应收票据合计周转天数由2023年的108天升至2024年的122天，并于2025年升至137天，公司解释主要原因是部分OEM客户获得更长信用期。2025年末应收账款净额约相当于全年收入的41.7%、约为全年净利润的2.9倍，显示部分产业链资金占用转移至Hesai一侧。2025年存货余额为人民币6.705亿元，约合9590万美元；存货周转天数由2023年的191天下降至2024年的169天，再降至2025年的122天，库存管理有所改善，但库存绝对金额仍随扩产和销售增长而上升。纪要未提供应付账款和预付款的具体金额。</w:t>
      </w:r>
    </w:p>
    <w:p>
      <w:pPr>
        <w:pStyle w:val="ListParagraph"/>
        <w:numPr>
          <w:ilvl w:val="0"/>
          <w:numId w:val="2"/>
        </w:numPr>
        <w:spacing w:after="80" w:line="280"/>
      </w:pPr>
      <w:r>
        <w:rPr>
          <w:sz w:val="22"/>
          <w:szCs w:val="22"/>
        </w:rPr>
        <w:t xml:space="preserve">客户集中度较高但有所下降：前五大客户收入占比由2023年的67.5%降至2025年的55.8%。2025年客户A、客户C和客户D收入占比分别为14.7%、17.1%和10.0%，且客户C、客户D分别占2025年末应收账款、合同资产及应收票据合计余额的12.5%和16.3%。上述数据来自公司20-F，但客户均匿名披露，无法与具体OEM逐一对应；纪要未提供客户集中度的独立第三方交叉核实数据，具体应以最新公司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约-25.4%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收入为人民币18.770亿元，毛利为人民币6.614亿元；公司处于规模化扩张阶段，研发费用和运营费用较高，制造自动化与规模效应尚未完全释放。</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收入为人民币20.772亿元，毛利为人民币8.846亿元；机器人和ADAS产品的成本及规模优化、制造成本下降和ADAS制造自动化率提高推动毛利率上升，但较高研发及经营费用仍导致净亏损。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41.8%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为人民币30.276亿元，毛利为人民币12.651亿元，净利润为人民币4.359亿元；LiDAR出货量增长、生产规模扩大和经营杠杆改善推动公司首次实现全年GAAP净利润。由于高毛利的一次性工程服务收入下降，且低毛利ADAS产品占比提升，毛利率较2024年小幅回落。</w:t>
            </w:r>
          </w:p>
        </w:tc>
      </w:tr>
    </w:tbl>
    <w:p>
      <w:pPr>
        <w:spacing w:before="200"/>
      </w:pPr>
    </w:p>
    <w:p>
      <w:pPr>
        <w:spacing w:after="160" w:line="300"/>
      </w:pPr>
      <w:r>
        <w:rPr>
          <w:sz w:val="22"/>
          <w:szCs w:val="22"/>
        </w:rPr>
        <w:t xml:space="preserve">Hesai处于高技术、重制造属性的LiDAR中游系统集成和量产环节，既不是上游芯片或激光器供应商，也不是拥有终端品牌溢价的下游汽车企业。公司当前利润改善主要依靠ADAS及机器人LiDAR渗透率提升、出货规模和产能利用率提高、ASIC集成、自动化与规模效应带来的单位成本下降，而非强定价权。进一步改善利润率取决于产品结构向高性能、多LiDAR的L3/L4方案升级、客户集中度下降、海外客户拓展及上游成本控制；汽车OEM压价、低价ADAS占比提升以及关键芯片和光电器件供应波动仍是主要约束。</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RMB860.8 million（约USD126.9 million）</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同比增长21.9%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GAAP净利润RMB70.6 million（约USD10.4 million）；非GAAP净利润RMB101.3 million（约USD14.9 million）</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GAAP同比增长60.0%；非GAAP同比增长38.3%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RMB1,541.4 million（约USD227.2 million）</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GAAP净利润RMB88.9 million（约USD13.1 million）；非GAAP净利润RMB149.1 million（约USD22.0 million）</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GAAP同比增长234.9%；非GAAP同比增长82.1%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RMB3,027.6 million（约USD432.9 million）</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研究纪要未提供同比增速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GAAP净利润RMB435.9 million（约USD62.3 million）</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2024年净亏损RMB102.4 million，2025年由亏转盈，不适合使用普通同比百分比</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2025年第四季度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RMB1,000.5 million（约USD143.1 million）</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RMB153.2 million（约USD21.9 million）</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研究纪要未提供同比增速</w:t>
            </w:r>
          </w:p>
        </w:tc>
      </w:tr>
    </w:tbl>
    <w:p>
      <w:pPr>
        <w:spacing w:after="200"/>
      </w:pPr>
      <w:r>
        <w:rPr>
          <w:i/>
          <w:iCs/>
          <w:color w:val="595959"/>
          <w:sz w:val="18"/>
          <w:szCs w:val="18"/>
        </w:rPr>
        <w:t xml:space="preserve">最新一期财报为Hesai Group截至2026年6月30日的第二季度业绩，公司于2026年8月18日公布。美元金额主要按公司采用的RMB6.7851兑USD1汇率折算。研究纪要称相关数据来自公司业绩公告及SEC披露文件。</w:t>
      </w:r>
    </w:p>
    <w:p>
      <w:pPr>
        <w:spacing w:after="160" w:line="300"/>
      </w:pPr>
      <w:r>
        <w:rPr>
          <w:sz w:val="22"/>
          <w:szCs w:val="22"/>
        </w:rPr>
        <w:t xml:space="preserve">2026年第二季度公司连续第五个季度实现GAAP盈利，营收增长主要来自ADAS和机器人激光雷达出货量提升，但平均销售价格下降对增速形成部分抵消。产品收入为RMB859.7 million（约USD126.7 million），同比增长22.9%；服务收入为RMB1.1 million（约USD0.2 million），同比下降84.3%。季度毛利率为40.1%，低于上年同期的42.5%；GAAP经营利润为RMB2.2 million（约USD0.3 million），同比下降90.4%，非GAAP经营利润为RMB33.0 million（约USD4.9 million），同比下降36.7%。截至2026年6月30日，公司现金储备为RMB7,050.6 million（约USD1,039.1 million），总资产为RMB11,004.2 million（约USD1,621.8 million），总负债为RMB2,053.5 million（约USD302.6 million），股东权益为RMB8,950.7 million（约USD1,319.2 million）。公司现金和短期投资规模较大，处于明显净现金状态。上半年净利润增速较高，部分受低基数以及投资收益、利息收入等非经营因素影响，不宜简单外推全年利润增速。股份方面，公司于2026年7月10日实施1拆8股份细分，财报已对历史每股数据追溯调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盈利预测采用MarketScreener公开的分析师预测，原始口径为RMB million，EPS为RMB；美元金额按RMB6.7851兑USD1近似换算，约有汇率误差。MarketScreener预测样本约20名分析师，并非公司官方指引。StockAnalysis对2026年营收和净利润的预测与MarketScreener基本一致，但其调整后EPS显示为2026年0.35、2027年0.62，明显低于MarketScreener数据，可能与调整后EPS口径、ADS与普通股换算、股份细分处理或数据抓取差异有关，因此EPS预测存在不确定性。公司官方指引方面，2026年第三季度净营收为RMB1,100 million至RMB1,150 million（约USD162 million至USD169 million），同比增长约38%至45%；2026年SGI收入指引为RMB200 million至RMB300 million（约USD29.5 million至USD44.2 million），公司预计SGI业务2027年收入约USD100 million并在2027年达到盈亏平衡。</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RMB4,295 million（约USD633.1 million）</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RMB496.8 million（约USD73.2 million）</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同比增长约14.0%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RMB3.253（约USD0.48）</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RMB6,073 million（约USD895.1 million）</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RMB875.9 million（约USD129.1 million）</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同比增长约76.3%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RMB5.984（约USD0.88）</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RMB8,029 million（约USD1,183.4 million）</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RMB1,323 million（约USD195.0 million）</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同比增长约51.1%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RMB8.725（约USD1.29）</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TipRanks共识</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Strong Buy；6个Buy、0个Hold、0个Sell</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截至2026年9月初至9月13日前后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6名分析师；平均12个月目标价USD28.63，最高USD31.00，最低USD25.00。以2026年9月11日收盘价USD17.31计算，平均目标价潜在上涨空间约65.4%。</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Goldman Sachs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Buy，目标价USD31.00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2026年9月1日重申</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研究纪要未提供其他具体评级理由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DBS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Buy，目标价USD25.00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2026年8月25日重申</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研究纪要未提供其他具体评级理由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CMB International Securities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Buy，目标价USD29.30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2026年8月19日重申</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研究纪要未提供其他具体评级理由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Jefferies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Buy，目标价USD30.00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2026年8月19日启动覆盖</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研究纪要未提供其他具体评级理由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Bernstein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Buy，目标价USD30.00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2026年8月17日重申</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研究纪要未提供其他具体评级理由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UBS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Buy，目标价由USD34.00下调至USD26.50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2026年7月31日重申</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目标价下调反映市场对公司增长、毛利率或新业务兑现速度仍存在一定担忧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Citi</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Buy，目标价由USD33.00下调至USD28.60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目标价下调反映市场对公司增长、毛利率或新业务兑现速度仍存在一定担忧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Macquarie</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Buy，目标价USD31.50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2026年2月10日启动覆盖</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研究纪要未提供其他具体评级理由</w:t>
            </w:r>
          </w:p>
        </w:tc>
      </w:tr>
    </w:tbl>
    <w:p>
      <w:pPr>
        <w:spacing w:before="200"/>
      </w:pPr>
    </w:p>
    <w:p>
      <w:pPr>
        <w:spacing w:after="160" w:line="300"/>
      </w:pPr>
      <w:r>
        <w:rPr>
          <w:sz w:val="22"/>
          <w:szCs w:val="22"/>
        </w:rPr>
        <w:t xml:space="preserve">截至2026年9月11日收盘，HSAI股价约USD17.31，市值约USD2.71 billion，企业价值约USD1.83 billion；TTM市盈率约36.86倍，Forward P/E约23.55倍，市销率约5.51倍，市净率约2.06倍，EV/Sales约3.73倍，EV/EBITDA约137.57倍，流动比率约5.37，Debt/Equity约0.08。MarketScreener估值页面显示，2026年预期P/E约36倍、P/B约1.93倍、EV/Sales约3.92倍；2027年预期P/E约19.6倍、P/B约1.76倍、EV/Sales约2.78倍。当前估值反映了市场对2026年至2028年收入保持约30%至40%增长、盈利和EPS快速增长的较高预期。如果2027年净利润预测能够实现，估值倍数可能随盈利增长快速下降；但若激光雷达平均售价持续下降、毛利率继续承压，或机器人、空间智能及SGI业务商业化不及预期，当前估值的安全边际可能有限。2026年第二季度毛利率已由上年同期的42.5%降至40.1%，上半年利润增长也受到投资收益和利息收入等非经营因素影响，因此单独使用P/E可能产生误导。整体而言，HSAI属于高增长预期、已实现初步盈利、但估值仍依赖未来业绩兑现的成长型股票；机构公开评级高度集中于Buy，当前样本中缺少Hold和Sell评级，评级分布可能偏乐观。</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2026年9月8日Form 6-K披露：已发行股本净额未变，员工期权及RSU持续结算</w:t>
      </w:r>
    </w:p>
    <w:p>
      <w:pPr>
        <w:spacing w:after="160" w:line="300"/>
      </w:pPr>
      <w:r>
        <w:rPr>
          <w:sz w:val="22"/>
          <w:szCs w:val="22"/>
        </w:rPr>
        <w:t xml:space="preserve">截至2026年8月31日，Hesai Group（纳斯达克：HSAI）Class A普通股为215,990,888股，Class B普通股为1,041,146,800股，合计已发行股份为1,257,137,688股；库存股为0股，公司确认已满足公众持股量要求。2026年8月，2021年股权激励计划下407,504份期权被行权、89,048份期权失效，当月没有新授予期权或RSU；期权行权募集资金约为103,337.26美元。相关行权使用此前已发行并登记在存托机构名下、用于未来股权激励结算的Class B普通股，因此已发行股份数量没有增加。同期有24,000份RSU归属、62,128份RSU失效。截至月末，仍有60,485,560股可因期权行权而发行或转让，17,354,496股可因RSU归属而发行或转让。来源：公司投资者关系网站及SEC相关申报。</w:t>
      </w:r>
    </w:p>
    <w:p>
      <w:pPr>
        <w:pStyle w:val="Heading2"/>
        <w:spacing w:after="120" w:before="240"/>
      </w:pPr>
      <w:r>
        <w:rPr>
          <w:b/>
          <w:bCs/>
          <w:color w:val="2E74B5"/>
          <w:sz w:val="24"/>
          <w:szCs w:val="24"/>
        </w:rPr>
        <w:t xml:space="preserve">4.2 截至2026年8月31日未见实际股份回购</w:t>
      </w:r>
    </w:p>
    <w:p>
      <w:pPr>
        <w:spacing w:after="160" w:line="300"/>
      </w:pPr>
      <w:r>
        <w:rPr>
          <w:sz w:val="22"/>
          <w:szCs w:val="22"/>
        </w:rPr>
        <w:t xml:space="preserve">2026年8月月度证券变动报告没有披露股份回购；截至2026年8月31日库存股为0股，也没有等待注销的回购股份。因此，现有披露没有显示HSAI在2026年8月实际执行股份回购。公司股东此前已批准一般性回购授权，但获得回购授权不等同于已经实施回购。来源：公司投资者关系网站及SEC相关申报。</w:t>
      </w:r>
    </w:p>
    <w:p>
      <w:pPr>
        <w:pStyle w:val="Heading2"/>
        <w:spacing w:after="120" w:before="240"/>
      </w:pPr>
      <w:r>
        <w:rPr>
          <w:b/>
          <w:bCs/>
          <w:color w:val="2E74B5"/>
          <w:sz w:val="24"/>
          <w:szCs w:val="24"/>
        </w:rPr>
        <w:t xml:space="preserve">4.3 美国哥伦比亚特区巡回上诉法院就Section 1260H名单诉讼作出有利于Hesai的程序性判决</w:t>
      </w:r>
    </w:p>
    <w:p>
      <w:pPr>
        <w:spacing w:after="160" w:line="300"/>
      </w:pPr>
      <w:r>
        <w:rPr>
          <w:sz w:val="22"/>
          <w:szCs w:val="22"/>
        </w:rPr>
        <w:t xml:space="preserve">2026年8月18日，美国哥伦比亚特区巡回上诉法院在Hesai Technology Co., Ltd. and Hesai Inc. v. U.S. Department of Defense一案中作出判决，案号为25-5256。法院推翻下级法院支持美国国防部的判决，并将案件发回进一步处理。法院认为，Hesai被列入美国《国防授权法》Section 1260H相关“中国军事公司”名单，可能造成声誉影响，并可能影响其参与部分政府合同和获得财政支持项目的资格，因此涉及受保护的法律利益。法院认定，美国国防部在最终确定名单前，应向Hesai提供其拟依赖的非机密材料，并给予公司有意义的回应机会；由于国防部未提供充分的事前程序，该程序瑕疵不能简单视为无害错误。该判决没有立即撤销Hesai的名单身份，案件需发回后进行补救程序。截至2026年9月13日，Hesai未因该判决自动从名单中移除；判决文本还提到，美国国防部在2026年6月发布的新一年度Section 1260H名单中再次包含Hesai。公司因此取得阶段性程序性胜利，但政府采购、联邦合同、财政支持及客户合规风险尚未完全解除，后续影响取决于美国国防部重新审查结果，以及是否继续上诉或采取其他行政措施。来源：美国哥伦比亚特区巡回上诉法院判决及案件公开信息。</w:t>
      </w:r>
    </w:p>
    <w:p>
      <w:pPr>
        <w:pStyle w:val="Heading2"/>
        <w:spacing w:after="120" w:before="240"/>
      </w:pPr>
      <w:r>
        <w:rPr>
          <w:b/>
          <w:bCs/>
          <w:color w:val="2E74B5"/>
          <w:sz w:val="24"/>
          <w:szCs w:val="24"/>
        </w:rPr>
        <w:t xml:space="preserve">4.4 Sharpa关联供应协议获股东批准，2026年度交易上限提高至人民币3亿元</w:t>
      </w:r>
    </w:p>
    <w:p>
      <w:pPr>
        <w:spacing w:after="160" w:line="300"/>
      </w:pPr>
      <w:r>
        <w:rPr>
          <w:sz w:val="22"/>
          <w:szCs w:val="22"/>
        </w:rPr>
        <w:t xml:space="preserve">2026年7月31日，Hesai公告拟扩大与Sharpa的供应合作，向Sharpa供应激光雷达产品、机器人执行器，并提供与灵巧手及其他具身智能产品相关的制造和支持服务。公司拟将2026年度交易上限由人民币1亿元提高至人民币3亿元。2026年3月25日至6月30日的历史交易金额约为人民币4,200万元，协议期限为2026年3月25日至12月31日；机器人执行器及相关制造支持服务的适用成本加成率预计为70%至80%。公司预计，2026年7月至12月向Sharpa供应的激光雷达产品销量较2026年3月25日至6月30日实际销量增加约116倍，机器人执行器及相关制造支持服务的销量或规模预计增加约9倍。Sharpa属于关联方，Hesai三位共同创始人李一凡、孙凯和项绍卿合计间接持有Sharpa多数投票权，因此交易属于香港上市规则下的持续关连交易。该交易为供应及制造服务安排，不是并购；人民币3亿元为年度交易上限，并非已经确认的收入或订单金额。来源：公司2026年7月31日交易公告及SEC披露。</w:t>
      </w:r>
    </w:p>
    <w:p>
      <w:pPr>
        <w:pStyle w:val="Heading2"/>
        <w:spacing w:after="120" w:before="240"/>
      </w:pPr>
      <w:r>
        <w:rPr>
          <w:b/>
          <w:bCs/>
          <w:color w:val="2E74B5"/>
          <w:sz w:val="24"/>
          <w:szCs w:val="24"/>
        </w:rPr>
        <w:t xml:space="preserve">4.5 2026年8月28日特别股东大会通过Sharpa修订协议及人民币3亿元年度上限</w:t>
      </w:r>
    </w:p>
    <w:p>
      <w:pPr>
        <w:spacing w:after="160" w:line="300"/>
      </w:pPr>
      <w:r>
        <w:rPr>
          <w:sz w:val="22"/>
          <w:szCs w:val="22"/>
        </w:rPr>
        <w:t xml:space="preserve">2026年8月28日召开的第二次特别股东大会通过了Sharpa修订协议及人民币3亿元年度交易上限。有效投票总数为581,754,899票，其中赞成581,636,027票，占99.9796%；反对118,872票，占0.0204%；弃权140,352票。三位共同创始人及其联系人涉及的217,311,136股股份回避投票。实际交易金额仍取决于后续采购订单和最终合同，需持续关注履约金额及关联交易披露。来源：SEC披露的股东大会投票结果。</w:t>
      </w:r>
    </w:p>
    <w:p>
      <w:pPr>
        <w:pStyle w:val="Heading2"/>
        <w:spacing w:after="120" w:before="240"/>
      </w:pPr>
      <w:r>
        <w:rPr>
          <w:b/>
          <w:bCs/>
          <w:color w:val="2E74B5"/>
          <w:sz w:val="24"/>
          <w:szCs w:val="24"/>
        </w:rPr>
        <w:t xml:space="preserve">4.6 2026年上半年业绩为近期消息面提供经营背景</w:t>
      </w:r>
    </w:p>
    <w:p>
      <w:pPr>
        <w:spacing w:after="160" w:line="300"/>
      </w:pPr>
      <w:r>
        <w:rPr>
          <w:sz w:val="22"/>
          <w:szCs w:val="22"/>
        </w:rPr>
        <w:t xml:space="preserve">公司于2026年8月18日披露，2026年上半年净收入为人民币15.41亿元，约合2.27亿美元，同比增长25%；净利润为人民币8,900万元，约合1,300万美元，同比增长235%。ADAS激光雷达出货量同比增长87%，机器人激光雷达出货量同比增长165%。2026年第二季度非GAAP归属于普通股股东的净利润为人民币1.013亿元，约合1,490万美元，同比增长38.3%。上述美元金额为公司公告所列折算口径。业绩显示，公司同时推进汽车ADAS激光雷达和机器人、具身智能业务。来源：SEC 2026年8月18日Form 6-K及业绩公告。</w:t>
      </w:r>
    </w:p>
    <w:p>
      <w:pPr>
        <w:pStyle w:val="Heading2"/>
        <w:spacing w:after="120" w:before="240"/>
      </w:pPr>
      <w:r>
        <w:rPr>
          <w:b/>
          <w:bCs/>
          <w:color w:val="2E74B5"/>
          <w:sz w:val="24"/>
          <w:szCs w:val="24"/>
        </w:rPr>
        <w:t xml:space="preserve">4.7 2026年7月10日起ADS比例调整为1份ADS代表8股普通股</w:t>
      </w:r>
    </w:p>
    <w:p>
      <w:pPr>
        <w:spacing w:after="160" w:line="300"/>
      </w:pPr>
      <w:r>
        <w:rPr>
          <w:sz w:val="22"/>
          <w:szCs w:val="22"/>
        </w:rPr>
        <w:t xml:space="preserve">自2026年7月10日起，HSAI的ADS比例由1份ADS代表1股普通股调整为1份ADS代表8股普通股。此次变化源于普通股八比一拆分，并非ADS本身进行拆分；Nasdaq公告明确表示，ADR本身没有进行拆分。该调整可能影响每股报价、历史价格序列可比性、每股指标、期权行权数据，以及投资者对公司总股本和ADS流通量的判断。来源：Nasdaq Equity Corporate Actions Alert #2026-479。</w:t>
      </w:r>
    </w:p>
    <w:p>
      <w:pPr>
        <w:pStyle w:val="Heading2"/>
        <w:spacing w:after="120" w:before="240"/>
      </w:pPr>
      <w:r>
        <w:rPr>
          <w:b/>
          <w:bCs/>
          <w:color w:val="2E74B5"/>
          <w:sz w:val="24"/>
          <w:szCs w:val="24"/>
        </w:rPr>
        <w:t xml:space="preserve">4.8 截至2026年9月13日未发现新的重大并购、资产出售或公司合并交易</w:t>
      </w:r>
    </w:p>
    <w:p>
      <w:pPr>
        <w:spacing w:after="160" w:line="300"/>
      </w:pPr>
      <w:r>
        <w:rPr>
          <w:sz w:val="22"/>
          <w:szCs w:val="22"/>
        </w:rPr>
        <w:t xml:space="preserve">截至2026年9月13日，根据公司投资者关系网站、SEC 6-K披露及针对2026年9月的公开资料检索，没有发现Hesai宣布重大并购、资产出售或公司合并交易。2026年9月8日最新Form 6-K主要披露截至2026年8月31日的证券变动，没有披露新的并购、重大融资或实际股份回购。近期最重要的业务扩张事项是与Sharpa的关联供应及制造服务安排，而不是股权收购或并购。上述结论仅表示截至该日期未检索到相关公开披露，不代表公司不存在尚未公告或尚未达到披露门槛的交易。</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17.31 USD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-0.09 USD，-0.52%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17.23 USD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17.40 / 17.05 USD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1,014,720股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估算成交额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约17.56 million USD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约2.71 billion USD；不同数据供应商因总股本、ADS换算及时间戳等口径可能存在差异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约126.17 million股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总发行股数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约156.44 million股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TTM 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36.86倍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Forward PE</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23.55倍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Beta</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20日平均成交量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1,726,724股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30.85 / 14.29 USD；分别对应2025年9月22日和2026年7月24日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距52周高点/低点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当前价格较52周高点低约43.9%，较52周低点高约21.1%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MA5约18.10 USD；MA10约17.59 USD；MA20约17.43 USD；MA50为17.12 USD；MA200为21.12 USD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股价低于MA5、MA10和MA20，分别约低4.4%、1.6%和0.7%；仍略高于MA50约1.1%，但明显低于MA200约18.0%。短线均线结构偏震荡弱势，中长期趋势尚未确认反转。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2026年7月24日收盘14.60 USD、盘中最低14.29 USD；8月7日收盘19.22 USD；8月18日收盘17.11 USD；9月3日收盘18.46 USD、单日上涨11.27%；9月10日收盘17.40 USD、单日下跌4.92%；9月11日收盘17.31 USD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股价呈现快速反弹后的回撤，近期波动率较高；18.5~19.5 USD上方存在明显抛压。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约-0.12；Investing.com于2026年9月10日GMT时间快照标记为Sell</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MACD处于零轴下方，短线动能尚未完全修复。该数值并非9月11日收盘后重新计算的最终值。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StockAnalysis为47.49；Investing.com于2026年9月10日为34.84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两个平台因计算时点、价格源、盘后数据或算法处理不同而存在差异；StockAnalysis口径属于中性偏弱，未达到传统超买或超卖水平。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RSI(6)近似值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基于最近6个收盘变动的简单估算约57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短线未处于极端超卖状态；该数值为自行计算的近似值，不等同于专业行情平台的Wilder RSI(6)。</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MA20中轨约17.43 USD；20日标准差约0.86 USD；上轨约19.16 USD；下轨约15.71 USD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股价略低于中轨，尚未触及下轨，短期并非极端超卖。若持续低于17.4 USD，可能逐步向16.0~15.7 USD区域寻找支撑。布林带为基于历史收盘价的估算，可能与其他平台略有差异。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成交量与换手率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9月11日成交量1.015 million股，为20日均量1.727 million股的约59%；估算换手率约0.80%，20日均量对应平均换手率约1.37%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当日下跌未伴随异常放量，近期回落更多体现为反弹后的获利回吐或买盘减弱，暂未出现极端放量抛售信号。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做空规模</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约9.02 million股，占总股本约7.20%；做空回补天数约6.15天</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不属于极端高空头水平，但在消息冲击下可能放大价格波动。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截至2026年6月30日，131家机构披露持有HSAI，合计约37.06 million股，占已发行股份约26.64%；Business Quant披露前十大机构约20.9 million股，占总股本约13.4%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机构股东主要包括公募基金管理人、银行资管、保险资管及对冲基金，并非仅由控股家族或私募股权股东构成。但13F数据存在季度滞后，且不同供应商统计口径差异较大；StockAnalysis披露的机构持股约49.95%，因此前十大机构约13.4%仅为特定披露口径下的估算，不能视为完整实时股权集中度。</w:t>
            </w:r>
          </w:p>
        </w:tc>
      </w:tr>
    </w:tbl>
    <w:p>
      <w:pPr>
        <w:spacing w:before="200"/>
      </w:pPr>
    </w:p>
    <w:p>
      <w:pPr>
        <w:spacing w:after="160" w:line="300"/>
      </w:pPr>
      <w:r>
        <w:rPr>
          <w:sz w:val="22"/>
          <w:szCs w:val="22"/>
        </w:rPr>
        <w:t xml:space="preserve">截至2026年9月11日，HSAI收于17.31 USD，仍低于MA5、MA10和MA20，仅略高于MA50，且明显低于MA200，整体呈现快速反弹后的回撤与震荡偏弱状态。股价位于52周区间中下部，距离52周高点30.85 USD仍低约43.9%，但已较7月低点14.29 USD高约21.1%。MACD仍在零轴下方，RSI处于中性偏弱至偏弱区间，布林带显示股价略低于中轨、但尚未触及下轨。9月11日成交量和成交额均低于20日均值，下跌暂未出现异常放量；后续需重点观察16.0~16.4 USD支撑、18.3~19.5 USD压力带，以及成交量能否配合价格突破。</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确定性价格预测。情景权重为基于当前技术面与资金面设置的主观启发式权重，并非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18.30~18.90 USD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对应9月9日收盘18.30 USD、9月4日收盘18.89 USD及近期反弹后的成交密集区域。若无法重新站上18.90 USD，反弹更可能仍属于区间修复。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19.10~19.50 USD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对应8月20日、8月21日高点附近及布林上轨约19.16 USD。若放量突破19.50 USD，可能打开向20.50~21.10 USD、即MA200附近的进一步反弹空间。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16.00~16.40 USD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对应8月31日低点16.08 USD、8月初成交密集区及近期回撤支撑。若有效跌破16.00 USD，短线结构将进一步转弱，并可能向布林下轨约15.71 USD方向寻找支撑。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14.30~14.80 USD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对应2026年7月24日52周低点14.29 USD及7月下旬反弹起点。若该区域失守，可能重新测试14.00 USD附近，甚至形成新的52周低点。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震荡整理（相对权重较高，约六成左右；主观启发式权重，非统计概率）：参考区间为16.40~18.30 USD。触发条件包括守住16.00~16.40 USD支撑，成交量维持约0.9~1.7 million股的近期正常范围，MACD未继续明显向下扩散，且纳斯达克及中概科技股风险偏好未明显恶化。在此情景下，价格可能围绕MA20约17.43 USD反复波动。</w:t>
      </w:r>
    </w:p>
    <w:p>
      <w:pPr>
        <w:pStyle w:val="ListParagraph"/>
        <w:numPr>
          <w:ilvl w:val="0"/>
          <w:numId w:val="2"/>
        </w:numPr>
        <w:spacing w:after="80" w:line="280"/>
      </w:pPr>
      <w:r>
        <w:rPr>
          <w:sz w:val="22"/>
          <w:szCs w:val="22"/>
        </w:rPr>
        <w:t xml:space="preserve">偏弱下行（权重中等，约三成左右；主观启发式权重，非统计概率）：参考区间为14.30~16.40 USD。触发条件包括收盘价有效跌破16.00 USD、下跌日成交量连续放大至约2.0 million股以上、MACD继续位于零轴下方并走弱，或纳斯达克、中概股、自动驾驶/机器人板块同步走弱。若16.00 USD失守，需关注向布林下轨约15.71 USD及14.29 USD低点回撤；若14.30~14.80 USD区域失守，下行结构将显著恶化。</w:t>
      </w:r>
    </w:p>
    <w:p>
      <w:pPr>
        <w:pStyle w:val="ListParagraph"/>
        <w:numPr>
          <w:ilvl w:val="0"/>
          <w:numId w:val="2"/>
        </w:numPr>
        <w:spacing w:after="80" w:line="280"/>
      </w:pPr>
      <w:r>
        <w:rPr>
          <w:sz w:val="22"/>
          <w:szCs w:val="22"/>
        </w:rPr>
        <w:t xml:space="preserve">反弹走强（权重偏低，约一成左右；主观启发式权重，非统计概率）：参考区间为18.30~19.50 USD，强势时观察20.50~21.10 USD。触发条件包括收盘价重新站上18.30~18.90 USD、单日成交量放大至约2.0~2.5 million股、连续数日维持在MA20上方、MACD向上交叉或负值明显收窄，及LiDAR、自动驾驶、机器人或公司订单相关消息改善风险偏好。只有在放量突破19.50 USD后，向20.50~21.10 USD的修复空间才获得更强技术确认。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截至2026年9月11日，HSAI成交量约1.015 million股、成交额约17.56 million USD，低于20日平均成交量1.727 million股及按17.31 USD估算的20日平均日成交额约29.89 million USD；估算换手率约0.80%，低于20日均量对应的约1.37%。以总市值约2.71 billion USD的中小盘成长股看，当前流动性尚可，但在财报、行业消息或中概股风险事件冲击下仍可能出现较大价格滑移。机构结构数据截至2026年6月30日，13F至少存在季度披露滞后，且不同供应商的机构持股比例由约26.64%至49.95%不等，不能代表2026年9月的实时持仓；已披露机构主要包括公募基金管理人、银行资管、保险资管及对冲基金。具体可检查的量能确认信号是：若单日成交量持续放大至约2.0~2.5 million股，对应成交额约35~43 million USD，并同时突破18.30~18.90 USD压力区，可视为量价配合改善的观察信号。</w:t>
      </w:r>
    </w:p>
    <w:p>
      <w:pPr>
        <w:spacing w:after="160" w:line="300"/>
      </w:pPr>
      <w:r>
        <w:rPr>
          <w:sz w:val="22"/>
          <w:szCs w:val="22"/>
        </w:rPr>
        <w:t xml:space="preserve">重点观察单日成交量能否达到约2.0~2.5 million股、成交额约35~43 million USD，并与突破18.30~18.90 USD或更高压力位同步出现；单独放量而未突破压力位，不足以确认趋势改善。</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观察股价能否重新站上MA20约17.43 USD，并进一步突破18.30~18.90 USD压力区；该观察思路非买入、卖出或持有指令。</w:t>
      </w:r>
    </w:p>
    <w:p>
      <w:pPr>
        <w:pStyle w:val="ListParagraph"/>
        <w:numPr>
          <w:ilvl w:val="0"/>
          <w:numId w:val="2"/>
        </w:numPr>
        <w:spacing w:after="80" w:line="280"/>
      </w:pPr>
      <w:r>
        <w:rPr>
          <w:sz w:val="22"/>
          <w:szCs w:val="22"/>
        </w:rPr>
        <w:t xml:space="preserve">若收盘价跌破16.00 USD且下跌成交量连续放大，关注向15.71 USD布林下轨及14.30~14.80 USD强支撑区回撤的风险；该观察思路非操作指令。</w:t>
      </w:r>
    </w:p>
    <w:p>
      <w:pPr>
        <w:pStyle w:val="ListParagraph"/>
        <w:numPr>
          <w:ilvl w:val="0"/>
          <w:numId w:val="2"/>
        </w:numPr>
        <w:spacing w:after="80" w:line="280"/>
      </w:pPr>
      <w:r>
        <w:rPr>
          <w:sz w:val="22"/>
          <w:szCs w:val="22"/>
        </w:rPr>
        <w:t xml:space="preserve">若成交量放大至约2.0~2.5 million股以上，同时价格突破18.90~19.50 USD，可作为量价改善的观察信号；该观察思路非操作指令。</w:t>
      </w:r>
    </w:p>
    <w:p>
      <w:pPr>
        <w:pStyle w:val="ListParagraph"/>
        <w:numPr>
          <w:ilvl w:val="0"/>
          <w:numId w:val="2"/>
        </w:numPr>
        <w:spacing w:after="80" w:line="280"/>
      </w:pPr>
      <w:r>
        <w:rPr>
          <w:sz w:val="22"/>
          <w:szCs w:val="22"/>
        </w:rPr>
        <w:t xml:space="preserve">关注自动驾驶、LiDAR、机器人及公司订单相关消息，以及纳斯达克、中概科技股整体风险偏好的变化；该观察思路非操作指令。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汇率及中概股风险偏好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LiDAR行业处于汽车ADAS、Robotaxi、机器人和工业自动化交叉领域。竞争不仅来自不同LiDAR厂商，也来自摄像头、毫米波雷达等替代传感器，汽车OEM自研感知系统，Tier-1供应商自有方案，以及机械式、混合固态、纯固态、MEMS、Flash和数字LiDAR等不同技术路线。客户同时关注性能、质量和成本；汽车客户尤其重视成本，Robotaxi客户相对更重视性能和可靠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行业核心竞争因素包括单位成本下降、规模化制造、汽车级可靠性和ASIC集成。</w:t>
      </w:r>
    </w:p>
    <w:p>
      <w:pPr>
        <w:pStyle w:val="ListParagraph"/>
        <w:numPr>
          <w:ilvl w:val="0"/>
          <w:numId w:val="2"/>
        </w:numPr>
        <w:spacing w:after="80" w:line="280"/>
      </w:pPr>
      <w:r>
        <w:rPr>
          <w:sz w:val="22"/>
          <w:szCs w:val="22"/>
        </w:rPr>
        <w:t xml:space="preserve">S&amp;P Global Mobility指出，2023年中国RoboSense、Hesai和华为合计占全球LiDAR销售额超过65%。该数据来自第三方行业研究，不是Hesai审计财报数字，统计口径可能包含不同产品和市场范围，不能直接等同于2025年市场份额。</w:t>
      </w:r>
    </w:p>
    <w:p>
      <w:pPr>
        <w:pStyle w:val="ListParagraph"/>
        <w:numPr>
          <w:ilvl w:val="0"/>
          <w:numId w:val="2"/>
        </w:numPr>
        <w:spacing w:after="80" w:line="280"/>
      </w:pPr>
      <w:r>
        <w:rPr>
          <w:sz w:val="22"/>
          <w:szCs w:val="22"/>
        </w:rPr>
        <w:t xml:space="preserve">Hesai在2025年年报及业绩材料中称，按照Gasgoo口径，公司2025年长距离汽车LiDAR市场份额超过40%，并在2025年取得全球40个汽车品牌、超过160个车型的ADAS定点。该数据属于公司披露或公司引用第三方数据，尚未通过独立的多来源统计完全交叉核实。</w:t>
      </w:r>
    </w:p>
    <w:p>
      <w:pPr>
        <w:pStyle w:val="ListParagraph"/>
        <w:numPr>
          <w:ilvl w:val="0"/>
          <w:numId w:val="2"/>
        </w:numPr>
        <w:spacing w:after="80" w:line="280"/>
      </w:pPr>
      <w:r>
        <w:rPr>
          <w:sz w:val="22"/>
          <w:szCs w:val="22"/>
        </w:rPr>
        <w:t xml:space="preserve">Hesai 2025年LiDAR总出货量为1,620,406台，其中ADAS LiDAR为1,381,133台，机器人LiDAR为239,273台；ADAS和机器人出货量分别同比增长202.6%和425.8%。</w:t>
      </w:r>
    </w:p>
    <w:p>
      <w:pPr>
        <w:pStyle w:val="ListParagraph"/>
        <w:numPr>
          <w:ilvl w:val="0"/>
          <w:numId w:val="2"/>
        </w:numPr>
        <w:spacing w:after="80" w:line="280"/>
      </w:pPr>
      <w:r>
        <w:rPr>
          <w:sz w:val="22"/>
          <w:szCs w:val="22"/>
        </w:rPr>
        <w:t xml:space="preserve">公司计划将2026年年度产能提升至超过400万台，但这是管理层规划，不等同于截至2025年末已经全部建成并可立即利用的有效产能；实际产能利用率仍取决于客户订单、产品爬坡和生产线利用率。</w:t>
      </w:r>
    </w:p>
    <w:p>
      <w:pPr>
        <w:pStyle w:val="ListParagraph"/>
        <w:numPr>
          <w:ilvl w:val="0"/>
          <w:numId w:val="2"/>
        </w:numPr>
        <w:spacing w:after="80" w:line="280"/>
      </w:pPr>
      <w:r>
        <w:rPr>
          <w:sz w:val="22"/>
          <w:szCs w:val="22"/>
        </w:rPr>
        <w:t xml:space="preserve">行业主要风险包括汽车OEM持续压价和年度降价、ADAS低价产品占比上升、关键零部件供应波动、客户信用期延长造成的资金占用，以及摄像头、毫米波雷达、OEM自研方案和其他LiDAR厂商的替代竞争。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RoboSense Technology（速腾聚创，港股代码2498）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中国汽车LiDAR市场直接竞争对手，覆盖ADAS、Robotaxi和机器人应用。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强调LiDAR硬件、芯片和软件算法一体化，并拓展海外汽车客户；其2024年年报披露截至2025年3月31日已获得超过100个车型定点，覆盖30家全球汽车OEM和Tier-1供应商。</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Ouster（NYSE: OUST）</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美国LiDAR与Physical AI感知平台公司，覆盖汽车、工业、机器人和智慧基础设施。</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重点发展数字LiDAR、自研SoC、摄像头、AI计算、传感器融合和感知软件；较多量产制造依靠Benchmark和Fabrinet等制造伙伴，而Hesai更偏向自有工厂和内部制造。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Innoviz Technologies（NASDAQ: INVZ）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以汽车级LiDAR和感知软件为核心的Tier-1直接供应商，面向乘用车、Robotaxi、接驳车、卡车和配送车辆。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聚焦汽车级固态LiDAR，并通过InnovizSMART拓展智能基础设施、安防、交通管理和机器人市场；汽车Tier-1定位和海外OEM合作属性更强。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Valeo（法雷奥，巴黎上市）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传统全球汽车Tier-1供应商，LiDAR属于其驾驶辅助和自动驾驶产品体系。</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拥有SCALA汽车LiDAR产品，并已为具备L3自动驾驶能力的车型提供LiDAR系统；优势在于全球OEM关系、汽车质量体系和系统集成能力。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Luminar Technologies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主要面向汽车自动驾驶和高级驾驶辅助系统的远距离LiDAR供应商。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重点强调高性能、远距离汽车LiDAR和全球汽车OEM量产合作。其2025年之后资本结构、上市交易状态和经营状况发生明显变化，纪要仅将其作为产品和行业竞争对手，不将其当前经营规模与Hesai直接等量比较。</w:t>
            </w:r>
          </w:p>
        </w:tc>
      </w:tr>
    </w:tbl>
    <w:p>
      <w:pPr>
        <w:spacing w:before="200"/>
      </w:pPr>
    </w:p>
    <w:p>
      <w:pPr>
        <w:spacing w:after="160" w:line="300"/>
      </w:pPr>
      <w:r>
        <w:rPr>
          <w:sz w:val="22"/>
          <w:szCs w:val="22"/>
        </w:rPr>
        <w:t xml:space="preserve">Hesai与RoboSense业务结构最为接近，均覆盖ADAS、Robotaxi和机器人应用，并受益于中国新能源汽车和ADAS渗透。相较Ouster，Hesai更偏汽车LiDAR和自有工厂、内部制造；相较Innoviz和Luminar，Hesai在中国新能源汽车客户覆盖、量产规模和出货量方面更具优势；相较Valeo，Hesai更加专注于LiDAR、ASIC自研、成本控制和中国市场规模化量产，而Valeo在全球汽车Tier-1供应链关系和系统集成方面更具优势。总体而言，Hesai的竞争壁垒来自“ASIC设计＋汽车级量产＋成本控制＋客户定点＋规模化出货”的综合能力，但其利润率仍受到OEM采购压价、产品ASP下降、上游关键零部件成本及替代技术竞争的制约。</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和应收账款风险仍然较高。2025年前五大客户收入占比为55.8%，客户C和客户D分别占应收账款、合同资产及应收票据合计余额的12.5%和16.3%；相关客户均匿名披露，若主要客户延长付款周期、削减采购或车型销量不及预期，可能同时影响收入确认和现金回收。</w:t>
      </w:r>
    </w:p>
    <w:p>
      <w:pPr>
        <w:pStyle w:val="ListParagraph"/>
        <w:numPr>
          <w:ilvl w:val="0"/>
          <w:numId w:val="2"/>
        </w:numPr>
        <w:spacing w:after="80" w:line="280"/>
      </w:pPr>
      <w:r>
        <w:rPr>
          <w:sz w:val="22"/>
          <w:szCs w:val="22"/>
        </w:rPr>
        <w:t xml:space="preserve">产品ASP下降可能持续压缩毛利率。2025年LiDAR平均售价约为USD260/台，较2024年的约USD530/台明显下降；2026年第二季度毛利率已降至40.1%，低于上年同期的42.5%。若低售价ADAS产品占比继续提升，而规模效应不足以抵消降价压力，收入增长未必能同步带来利润增长。</w:t>
      </w:r>
    </w:p>
    <w:p>
      <w:pPr>
        <w:pStyle w:val="ListParagraph"/>
        <w:numPr>
          <w:ilvl w:val="0"/>
          <w:numId w:val="2"/>
        </w:numPr>
        <w:spacing w:after="80" w:line="280"/>
      </w:pPr>
      <w:r>
        <w:rPr>
          <w:sz w:val="22"/>
          <w:szCs w:val="22"/>
        </w:rPr>
        <w:t xml:space="preserve">汽车OEM和Tier-1客户具有较强议价能力，车型定点也不必然转化为量产收入。客户持续要求降低单位采购价格，车型销量、量产节奏和产品爬坡均可能偏离预期，从而使公司产能扩张和市场份额目标无法完全兑现。</w:t>
      </w:r>
    </w:p>
    <w:p>
      <w:pPr>
        <w:pStyle w:val="ListParagraph"/>
        <w:numPr>
          <w:ilvl w:val="0"/>
          <w:numId w:val="2"/>
        </w:numPr>
        <w:spacing w:after="80" w:line="280"/>
      </w:pPr>
      <w:r>
        <w:rPr>
          <w:sz w:val="22"/>
          <w:szCs w:val="22"/>
        </w:rPr>
        <w:t xml:space="preserve">关键零部件供应可能影响成本和交付。公司采购的激光器、接收器、汽车级芯片及其他光学组件可能出现供应紧张、价格波动或较长交付周期；虽然公司已通过自研ASIC、自动化制造和安全库存进行缓冲，但材料及零部件成本在2025年仍达到人民币12.491亿元（约USD178.6 million），占收入41.3%。</w:t>
      </w:r>
    </w:p>
    <w:p>
      <w:pPr>
        <w:pStyle w:val="ListParagraph"/>
        <w:numPr>
          <w:ilvl w:val="0"/>
          <w:numId w:val="2"/>
        </w:numPr>
        <w:spacing w:after="80" w:line="280"/>
      </w:pPr>
      <w:r>
        <w:rPr>
          <w:sz w:val="22"/>
          <w:szCs w:val="22"/>
        </w:rPr>
        <w:t xml:space="preserve">新业务存在关联交易履约和商业化不确定性。Sharpa为公司创始人间接持有多数投票权的关联方，2026年交易上限提高至人民币3亿元；该金额并非已确认收入，实际交易取决于后续订单和合同。若机器人执行器、灵巧手及具身智能相关服务放量低于预期，或关联交易规模与盈利贡献不及规划，可能影响新业务增长预期。</w:t>
      </w:r>
    </w:p>
    <w:p>
      <w:pPr>
        <w:pStyle w:val="ListParagraph"/>
        <w:numPr>
          <w:ilvl w:val="0"/>
          <w:numId w:val="2"/>
        </w:numPr>
        <w:spacing w:after="80" w:line="280"/>
      </w:pPr>
      <w:r>
        <w:rPr>
          <w:sz w:val="22"/>
          <w:szCs w:val="22"/>
        </w:rPr>
        <w:t xml:space="preserve">美国监管和客户合规风险尚未解除。美国哥伦比亚特区巡回上诉法院的判决属于程序性胜利，并未立即将Hesai从Section 1260H相关名单中移除；公司在2026年新一年度名单中仍被包含。后续重新审查、可能的上诉或行政措施，仍可能影响部分美国政府合同、财政支持项目及客户合规判断。</w:t>
      </w:r>
    </w:p>
    <w:p>
      <w:pPr>
        <w:pStyle w:val="ListParagraph"/>
        <w:numPr>
          <w:ilvl w:val="0"/>
          <w:numId w:val="2"/>
        </w:numPr>
        <w:spacing w:after="80" w:line="280"/>
      </w:pPr>
      <w:r>
        <w:rPr>
          <w:sz w:val="22"/>
          <w:szCs w:val="22"/>
        </w:rPr>
        <w:t xml:space="preserve">估值和股价波动风险较高。截至2026年9月11日，HSAI股价为USD17.31，仍较52周高点USD30.85低约43.9%，TTM市盈率约36.86倍；技术面低于MA5、MA10、MA20和MA200，MACD位于零轴下方。若收入、毛利率或机器人业务兑现不及市场预期，估值压缩可能放大股价波动；公司约7.20%的总股本处于做空状态，也可能在消息冲击下放大价格变化。</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Hesai的增长逻辑在于ADAS激光雷达的规模化渗透、机器人及具身智能应用扩张，以及自研ASIC、自动化制造和规模效应带来的单位成本下降。2025年出货量大幅增长并实现全年GAAP盈利，2026年上半年仍保持收入和利润增长，说明公司已初步跨过从研发投入到量产盈利的阶段。公司现金储备较高，也为产能扩张和新业务投入提供了一定财务缓冲。</w:t>
      </w:r>
    </w:p>
    <w:p>
      <w:pPr>
        <w:spacing w:after="160" w:line="300"/>
      </w:pPr>
      <w:r>
        <w:rPr>
          <w:sz w:val="22"/>
          <w:szCs w:val="22"/>
        </w:rPr>
        <w:t xml:space="preserve">未来业绩兑现取决于ADAS产品出货量、客户车型销量、定点转量产进度以及机器人业务商业化。公司计划将2026年年度产能提升至超过400万台，但该目标属于管理层规划，实际利用率仍取决于订单和生产爬坡。Sharpa关联供应及制造服务安排的2026年交易上限为人民币3亿元，但上限不等同于已确认收入，后续仍需观察实际履约金额、销量和盈利贡献。</w:t>
      </w:r>
    </w:p>
    <w:p>
      <w:pPr>
        <w:spacing w:after="160" w:line="300"/>
      </w:pPr>
      <w:r>
        <w:rPr>
          <w:sz w:val="22"/>
          <w:szCs w:val="22"/>
        </w:rPr>
        <w:t xml:space="preserve">公司仍处于高增长但定价权有限的制造型技术企业阶段。低价ADAS产品占比提升可能继续压低ASP和毛利率，汽车OEM采购压价、客户集中度、应收账款周转以及关键零部件供应也可能限制利润改善。当前估值对2026年至2028年收入和盈利增长具有较高依赖，机构评级样本又集中于Buy，因此后续更需要关注收入增长是否能够转化为稳定的经营利润和现金流，而不能仅依据非经营性投资收益、利息收入或短期利润增速判断趋势。</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Hesai Group_December 31, 2025 — https://www.sec.gov/Archives/edgar/data/1861737/000110465926048025/hsai-20251231x20f.htm</w:t>
      </w:r>
    </w:p>
    <w:p>
      <w:pPr>
        <w:spacing w:after="200"/>
      </w:pPr>
      <w:r>
        <w:rPr>
          <w:i/>
          <w:iCs/>
          <w:color w:val="595959"/>
          <w:sz w:val="18"/>
          <w:szCs w:val="18"/>
        </w:rPr>
        <w:t xml:space="preserve">https://www.sec.gov/Archives/edgar/data/1861737/000110465926048075/tm2612222d1_ex99-1.pdf — https://www.sec.gov/Archives/edgar/data/1861737/000110465926048075/tm2612222d1_ex99-1.pdf</w:t>
      </w:r>
    </w:p>
    <w:p>
      <w:pPr>
        <w:spacing w:after="200"/>
      </w:pPr>
      <w:r>
        <w:rPr>
          <w:i/>
          <w:iCs/>
          <w:color w:val="595959"/>
          <w:sz w:val="18"/>
          <w:szCs w:val="18"/>
        </w:rPr>
        <w:t xml:space="preserve">BriefCASE: Chinese suppliers gain strong foothold in global lidar market — https://www.spglobal.com/mobility/en/research-analysis/briefcase-chinese-suppliers-gain-strong-foothold-lidar-market.html?utm_source=openai</w:t>
      </w:r>
    </w:p>
    <w:p>
      <w:pPr>
        <w:spacing w:after="200"/>
      </w:pPr>
      <w:r>
        <w:rPr>
          <w:i/>
          <w:iCs/>
          <w:color w:val="595959"/>
          <w:sz w:val="18"/>
          <w:szCs w:val="18"/>
        </w:rPr>
        <w:t xml:space="preserve">2024 ANNUAL REPORT 5 — https://www.hkexnews.hk/listedco/listconews/sehk/2025/0428/2025042800961.pdf?utm_source=openai</w:t>
      </w:r>
    </w:p>
    <w:p>
      <w:pPr>
        <w:spacing w:after="200"/>
      </w:pPr>
      <w:r>
        <w:rPr>
          <w:i/>
          <w:iCs/>
          <w:color w:val="595959"/>
          <w:sz w:val="18"/>
          <w:szCs w:val="18"/>
        </w:rPr>
        <w:t xml:space="preserve">oust-20251231 — https://www.sec.gov/Archives/edgar/data/1816581/000162828026013313/oust-20251231.htm?utm_source=openai</w:t>
      </w:r>
    </w:p>
    <w:p>
      <w:pPr>
        <w:spacing w:after="200"/>
      </w:pPr>
      <w:r>
        <w:rPr>
          <w:i/>
          <w:iCs/>
          <w:color w:val="595959"/>
          <w:sz w:val="18"/>
          <w:szCs w:val="18"/>
        </w:rPr>
        <w:t xml:space="preserve">Innoviz Technologies Ltd. - 1835654 - 2026 — https://www.sec.gov/Archives/edgar/data/1835654/000117891326000724/zk2634434.htm?utm_source=openai</w:t>
      </w:r>
    </w:p>
    <w:p>
      <w:pPr>
        <w:spacing w:after="200"/>
      </w:pPr>
      <w:r>
        <w:rPr>
          <w:i/>
          <w:iCs/>
          <w:color w:val="595959"/>
          <w:sz w:val="18"/>
          <w:szCs w:val="18"/>
        </w:rPr>
        <w:t xml:space="preserve">LiDAR sensor | Autonomous vehicle sensors | Valeo — https://www.valeo.com/en/valeo-scala-lidar/?utm_source=openai</w:t>
      </w:r>
    </w:p>
    <w:p>
      <w:pPr>
        <w:spacing w:after="200"/>
      </w:pPr>
      <w:r>
        <w:rPr>
          <w:i/>
          <w:iCs/>
          <w:color w:val="595959"/>
          <w:sz w:val="18"/>
          <w:szCs w:val="18"/>
        </w:rPr>
        <w:t xml:space="preserve">https://www.sec.gov/Archives/edgar/data/1758057/000114036126011477/ef20067963-10k.htm?utm_source=openai — https://www.sec.gov/Archives/edgar/data/1758057/000114036126011477/ef20067963-10k.htm?utm_source=openai</w:t>
      </w:r>
    </w:p>
    <w:p>
      <w:pPr>
        <w:spacing w:after="200"/>
      </w:pPr>
      <w:r>
        <w:rPr>
          <w:i/>
          <w:iCs/>
          <w:color w:val="595959"/>
          <w:sz w:val="18"/>
          <w:szCs w:val="18"/>
        </w:rPr>
        <w:t xml:space="preserve">Hesai Group Reports Second Quarter 2026 Unaudited Financial Results - Hesai Group — https://investor.hesaitech.com/news-releases/news-release-details/hesai-group-reports-second-quarter-2026-unaudited-financial?utm_source=openai</w:t>
      </w:r>
    </w:p>
    <w:p>
      <w:pPr>
        <w:spacing w:after="200"/>
      </w:pPr>
      <w:r>
        <w:rPr>
          <w:i/>
          <w:iCs/>
          <w:color w:val="595959"/>
          <w:sz w:val="18"/>
          <w:szCs w:val="18"/>
        </w:rPr>
        <w:t xml:space="preserve">www.sec.gov — https://www.sec.gov/Archives/edgar/data/1861737/000110465926098050/tm2623467d1_ex99-2.htm</w:t>
      </w:r>
    </w:p>
    <w:p>
      <w:pPr>
        <w:spacing w:after="200"/>
      </w:pPr>
      <w:r>
        <w:rPr>
          <w:i/>
          <w:iCs/>
          <w:color w:val="595959"/>
          <w:sz w:val="18"/>
          <w:szCs w:val="18"/>
        </w:rPr>
        <w:t xml:space="preserve">Hesai Group Reports Fourth Quarter and Full Year 2025 Unaudited Financial Results - Hesai Group — https://investor.hesaitech.com/news-releases/news-release-details/hesai-group-reports-fourth-quarter-and-full-year-2025-unaudited</w:t>
      </w:r>
    </w:p>
    <w:p>
      <w:pPr>
        <w:spacing w:after="200"/>
      </w:pPr>
      <w:r>
        <w:rPr>
          <w:i/>
          <w:iCs/>
          <w:color w:val="595959"/>
          <w:sz w:val="18"/>
          <w:szCs w:val="18"/>
        </w:rPr>
        <w:t xml:space="preserve">Hesai Group: Financial Data Forecasts Estimates and Expectations | HSAI | US4280501085 | MarketScreener — https://www.marketscreener.com/quote/stock/HESAI-GROUP-150549900/finances/</w:t>
      </w:r>
    </w:p>
    <w:p>
      <w:pPr>
        <w:spacing w:after="200"/>
      </w:pPr>
      <w:r>
        <w:rPr>
          <w:i/>
          <w:iCs/>
          <w:color w:val="595959"/>
          <w:sz w:val="18"/>
          <w:szCs w:val="18"/>
        </w:rPr>
        <w:t xml:space="preserve">Hesai Group (HSAI) Stock Forecast &amp; Analyst Price Targets — https://stockanalysis.com/stocks/hsai/forecast/</w:t>
      </w:r>
    </w:p>
    <w:p>
      <w:pPr>
        <w:spacing w:after="200"/>
      </w:pPr>
      <w:r>
        <w:rPr>
          <w:i/>
          <w:iCs/>
          <w:color w:val="595959"/>
          <w:sz w:val="18"/>
          <w:szCs w:val="18"/>
        </w:rPr>
        <w:t xml:space="preserve">Hesai Group Sponsored ADR (HSAI) Stock Forecast, Price Targets and Analysts Predictions - TipRanks.com — https://www.tipranks.com/stocks/hsai/forecast</w:t>
      </w:r>
    </w:p>
    <w:p>
      <w:pPr>
        <w:spacing w:after="200"/>
      </w:pPr>
      <w:r>
        <w:rPr>
          <w:i/>
          <w:iCs/>
          <w:color w:val="595959"/>
          <w:sz w:val="18"/>
          <w:szCs w:val="18"/>
        </w:rPr>
        <w:t xml:space="preserve">Hesai Group (HSAI) Statistics &amp; Valuation — https://stockanalysis.com/stocks/hsai/statistics/</w:t>
      </w:r>
    </w:p>
    <w:p>
      <w:pPr>
        <w:spacing w:after="200"/>
      </w:pPr>
      <w:r>
        <w:rPr>
          <w:i/>
          <w:iCs/>
          <w:color w:val="595959"/>
          <w:sz w:val="18"/>
          <w:szCs w:val="18"/>
        </w:rPr>
        <w:t xml:space="preserve">EDGAR Filing Documents for 0001104659-26-048025 — https://www.sec.gov/Archives/edgar/data/control/000110465926048025/0001104659-26-048025-index.htm?utm_source=openai</w:t>
      </w:r>
    </w:p>
    <w:p>
      <w:pPr>
        <w:spacing w:after="200"/>
      </w:pPr>
      <w:r>
        <w:rPr>
          <w:i/>
          <w:iCs/>
          <w:color w:val="595959"/>
          <w:sz w:val="18"/>
          <w:szCs w:val="18"/>
        </w:rPr>
        <w:t xml:space="preserve">Form 6-K for Hesai Group filed 09/08/2026 — https://investor.hesaitech.com/static-files/ab2d24fd-50c0-4775-8633-ca90c78d0dc1</w:t>
      </w:r>
    </w:p>
    <w:p>
      <w:pPr>
        <w:spacing w:after="200"/>
      </w:pPr>
      <w:r>
        <w:rPr>
          <w:i/>
          <w:iCs/>
          <w:color w:val="595959"/>
          <w:sz w:val="18"/>
          <w:szCs w:val="18"/>
        </w:rPr>
        <w:t xml:space="preserve">United States Court of Appeals — https://media.cadc.uscourts.gov/opinions/docs/2026/08/25-5256-2188737.pdf?utm_source=openai</w:t>
      </w:r>
    </w:p>
    <w:p>
      <w:pPr>
        <w:spacing w:after="200"/>
      </w:pPr>
      <w:r>
        <w:rPr>
          <w:i/>
          <w:iCs/>
          <w:color w:val="595959"/>
          <w:sz w:val="18"/>
          <w:szCs w:val="18"/>
        </w:rPr>
        <w:t xml:space="preserve">www.sec.gov — https://www.sec.gov/Archives/edgar/data/1861737/000110465926089024/tm2621807d1_ex99-2.htm</w:t>
      </w:r>
    </w:p>
    <w:p>
      <w:pPr>
        <w:spacing w:after="200"/>
      </w:pPr>
      <w:r>
        <w:rPr>
          <w:i/>
          <w:iCs/>
          <w:color w:val="595959"/>
          <w:sz w:val="18"/>
          <w:szCs w:val="18"/>
        </w:rPr>
        <w:t xml:space="preserve">https://www.sec.gov/Archives/edgar/data/1861737/000110465926098050/tm2623467d1_ex99-2.htm?utm_source=openai — https://www.sec.gov/Archives/edgar/data/1861737/000110465926098050/tm2623467d1_ex99-2.htm?utm_source=openai</w:t>
      </w:r>
    </w:p>
    <w:p>
      <w:pPr>
        <w:spacing w:after="200"/>
      </w:pPr>
      <w:r>
        <w:rPr>
          <w:i/>
          <w:iCs/>
          <w:color w:val="595959"/>
          <w:sz w:val="18"/>
          <w:szCs w:val="18"/>
        </w:rPr>
        <w:t xml:space="preserve">Equity Corporate Actions Alert #2026 - 479 Information Regarding the Ratio Change for Hesai Group American Depositary Share (HSAI) — https://www.nasdaqtrader.com/TraderNews.aspx?id=ECA2026-479</w:t>
      </w:r>
    </w:p>
    <w:p>
      <w:pPr>
        <w:spacing w:after="200"/>
      </w:pPr>
      <w:r>
        <w:rPr>
          <w:i/>
          <w:iCs/>
          <w:color w:val="595959"/>
          <w:sz w:val="18"/>
          <w:szCs w:val="18"/>
        </w:rPr>
        <w:t xml:space="preserve">News Releases - Hesai Group — https://investor.hesaitech.com/news-events/news-releases?utm_source=openai</w:t>
      </w:r>
    </w:p>
    <w:p>
      <w:pPr>
        <w:spacing w:after="200"/>
      </w:pPr>
      <w:r>
        <w:rPr>
          <w:i/>
          <w:iCs/>
          <w:color w:val="595959"/>
          <w:sz w:val="18"/>
          <w:szCs w:val="18"/>
        </w:rPr>
        <w:t xml:space="preserve">Hesai Group (HSAI) Stock Price &amp; Overview — https://stockanalysis.com/stocks/hsai/</w:t>
      </w:r>
    </w:p>
    <w:p>
      <w:pPr>
        <w:spacing w:after="200"/>
      </w:pPr>
      <w:r>
        <w:rPr>
          <w:i/>
          <w:iCs/>
          <w:color w:val="595959"/>
          <w:sz w:val="18"/>
          <w:szCs w:val="18"/>
        </w:rPr>
        <w:t xml:space="preserve">ヘサイ・グループ〖HSAI〗：株価時系列・推移 - Yahoo!ファイナンス — https://finance.yahoo.co.jp/quote/HSAI/history?utm_source=openai</w:t>
      </w:r>
    </w:p>
    <w:p>
      <w:pPr>
        <w:spacing w:after="200"/>
      </w:pPr>
      <w:r>
        <w:rPr>
          <w:i/>
          <w:iCs/>
          <w:color w:val="595959"/>
          <w:sz w:val="18"/>
          <w:szCs w:val="18"/>
        </w:rPr>
        <w:t xml:space="preserve">Hesai Group (HSAI) Stock Price History 2023-2026 — https://stockanalysis.com/stocks/hsai/history/</w:t>
      </w:r>
    </w:p>
    <w:p>
      <w:pPr>
        <w:spacing w:after="200"/>
      </w:pPr>
      <w:r>
        <w:rPr>
          <w:i/>
          <w:iCs/>
          <w:color w:val="595959"/>
          <w:sz w:val="18"/>
          <w:szCs w:val="18"/>
        </w:rPr>
        <w:t xml:space="preserve">Hesai ADR RSI and Technical Analysis - Investing.com India — https://in.investing.com/equities/hesai-adr-technical?utm_source=openai</w:t>
      </w:r>
    </w:p>
    <w:p>
      <w:pPr>
        <w:spacing w:after="200"/>
      </w:pPr>
      <w:r>
        <w:rPr>
          <w:i/>
          <w:iCs/>
          <w:color w:val="595959"/>
          <w:sz w:val="18"/>
          <w:szCs w:val="18"/>
        </w:rPr>
        <w:t xml:space="preserve">Hesai Group Institutional Ownership | HSAI | Business Quant — https://businessquant.com/stocks/hsai/institutional-ownership?utm_source=openai</w:t>
      </w:r>
    </w:p>
    <w:p>
      <w:pPr>
        <w:spacing w:after="200"/>
      </w:pPr>
      <w:r>
        <w:rPr>
          <w:i/>
          <w:iCs/>
          <w:color w:val="595959"/>
          <w:sz w:val="18"/>
          <w:szCs w:val="18"/>
        </w:rPr>
        <w:t xml:space="preserve">本报告由AI基于公开渠道信息自动检索、整理并生成，信息截至 数据截至2026年9月11日美股收盘；2026年9月13日为周日，下一交易日尚未开盘。HSAI为Hesai Group在NASDAQ Global Select Market交易的ADS，1 ADS代表1股Class B普通股。，可能存在时效性差异，具体数据请以公司正式公告及权威数据终端为准。本报告仅为信息整理与研究参考，不构成任何投资建议，投资者应独立判断并自行承担投资风险。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2026-09-13T11:46:09.589Z</dcterms:created>
  <dcterms:modified xsi:type="dcterms:W3CDTF">2026-09-13T11:46:09.589Z</dcterms:modified>
</cp:coreProperties>
</file>

<file path=docProps/custom.xml><?xml version="1.0" encoding="utf-8"?>
<Properties xmlns="http://schemas.openxmlformats.org/officeDocument/2006/custom-properties" xmlns:vt="http://schemas.openxmlformats.org/officeDocument/2006/docPropsVTypes"/>
</file>