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Nuveen Nasdaq 100 Dynamic Overwrite Fund (QQQX)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行业：封闭式基金（期权收益策略）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报告日期：2026年10月24日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行情截至2026-10-23收盘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核心结论：分配覆盖持续恶化、折价已收窄，当前价格缺少安全垫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30.00美元（-0.56%）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约14.65亿美元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25.35～31.87美元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162万美元／0.11%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行情数据截至：2026-10-23收盘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分配被自身现金流覆盖不足</w:t>
      </w:r>
      <w:r>
        <w:rPr>
          <w:sz w:val="22"/>
          <w:szCs w:val="22"/>
        </w:rPr>
        <w:t xml:space="preserve">：2026财年YTD分配100%估计为资本返还；FY2025覆盖率68.9%、ROC占比32.4%，较FY2024的76.5%、13.2%明显恶化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增发可支付分配，稀释风险实质化</w:t>
      </w:r>
      <w:r>
        <w:rPr>
          <w:sz w:val="22"/>
          <w:szCs w:val="22"/>
        </w:rPr>
        <w:t xml:space="preserve">：2026-10-02的424B3将“净募集资金可用于支付分配”写入用途条款，shelf增发通道保留，发行规模未披露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PE(最近完整财年)为—；同口径历史样本不足，历史高低位置暂不判断。</w:t>
      </w:r>
      <w:r>
        <w:rPr>
          <w:sz w:val="22"/>
          <w:szCs w:val="22"/>
        </w:rPr>
        <w:t xml:space="preserve">：现价$30.00、NAV $30.98，折价2.61%，1年/3年/5年均值为6.60%/8.09%/4.00%，且低于EOS的11.87%、EOI的7.43%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：价格把QQQX当成稳定的约9.8%分配收益率资产定价，折价仅2.61%（远窄于5年均值4.00%），隐含分配可持续、NAV不再走弱的假设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：证据相反：NII连续为负（2026上半年-$1.373 million），分配覆盖率降至68.9%且YTD估计100%为资本返还，增发条款又允许用募集资金支付分配，分配质量与价格定位不匹配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证据不足；置信度：低（无机构盈利预测、关键财务数据缺口较多、必需财务字段未核实：证券类型不适用普通公司口径（基金（按投资公司规则申报，没有经营性公司的财务报表））、关键财务字段来源或公开日期尚未核实、部分数据源不可用或降级，核验覆盖受限、部分论据存在期间或口径冲突，已屏蔽相关判断）</w:t>
      </w:r>
    </w:p>
    <w:p>
      <w:pPr>
        <w:spacing w:after="160" w:line="300"/>
      </w:pPr>
      <w:r>
        <w:rPr>
          <w:sz w:val="22"/>
          <w:szCs w:val="22"/>
        </w:rPr>
        <w:t xml:space="preserve">必需财务基线尚未核实：证券类型不适用普通公司口径（基金（按投资公司规则申报，没有经营性公司的财务报表））。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持有Nasdaq 100复制组合，动态卖出35%-75%名义看涨期权获取权利金，以管理分配计划按季向持有人派发高分配率现金。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Nasdaq 100 股票组合（指数beta+股息）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股息率极低，NII口径下几乎无法覆盖0.89%费用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卖出看涨期权权利金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核心经济来源，会计上计入已实现资本利得，不进NII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证券出借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可出借至多1/3总资产，102%现金抵押，收入量级很小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动态覆盖执行：覆盖区间35%-75%（目标55%），FY2024 NAV总回报27.13%跑赢混合基准24.92%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Nuveen CEF平台与载体结构：净资产约15.5亿美元，CEF可分派已实现资本利得，开放式ETF难复制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费用0.89%（管理费0.81%）且无结构性杠杆，NAV回报不被杠杆利息侵蚀</w:t>
      </w:r>
    </w:p>
    <w:p>
      <w:pPr>
        <w:spacing w:after="160" w:line="300"/>
      </w:pPr>
      <w:r>
        <w:rPr>
          <w:sz w:val="22"/>
          <w:szCs w:val="22"/>
        </w:rPr>
        <w:t xml:space="preserve">主要威胁：指数复制零差异化，上行被封顶；ETF替代品费用更低、无折价，持续分流资金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采购Nasdaq 100成分股敞口与市场定价的期权权利金，两者均完全同质化，基金是价格接受者，无议价空间。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服务商Nuveen基金顾问（管理费0.81%，按Managed Assets计提）、State Street托管等基本照价付费；不使用结构性杠杆，无融资成本。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份额主要由零售与理财顾问渠道持有，二级市场价格由买方决定，基金长期以折价交易（52周平均-7.36%，2026-08-18）。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替代品QQQ、JEPQ、QYLD等开放式ETF无折价、费用更低，构成持续费率与资金分流压力。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基金不披露前十大持有人，客户集中度数据缺失（CEF通常不披露）。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无应收账款；替代指标为分配覆盖率：FY2024 76.5%→FY2025 68.9%，ROC占分配13.2%→32.4%，2026财年YTD 19(a)估算分配100%为ROC。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FY2023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NII及ROC拆分未取得可靠数据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FY2024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≈-0.04%（NII/平均净资产）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上涨行情权利金稳定，覆盖率76.5%、ROC仅13.2%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≈-0.13%（NII/平均净资产）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费用&gt;股息使NII转负；覆盖区间41%-75%，ROC升至32.4%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2026上半年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分配上调至年化$2.952，19(a)估算YTD分配100%为ROC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位于微笑曲线中游“打包/分销”：上游买同质化beta与波动率均无议价权，下游价格由折价决定。改善只能靠权利金捕获效率、折价收窄与费用控制；FY2023 NII/ROC数据缺失。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属Lipper“Option Income Strategies”类别，成熟且拥挤；低波动环境下单位名义权利金被压缩，叠加低费率开放式ETF替代，是当前最关键的行业趋势。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QQQX（本标的，NYSE）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Nasdaq 100复制+动态35%-75%覆盖，季度管理分配，无杠杆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NAV约$1,553M；费用率0.89%；分配率9.65%（2026-08-18）；1年NAV+16.61%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JEPQ（JPMorgan）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开放式ETF，Nasdaq 100+期权/挂钩票据，月度分配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无折价问题、费用显著更低，直接分流CEF资金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QYLD（Global X）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开放式ETF，约满仓按月平值卖出Nasdaq 100期权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上行封顶更彻底，分配率高但无折价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SPXX（Nuveen）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同门动态覆盖模板，标的为S&amp;P 500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同门最可比，标的指数不同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QQQ（Invesco）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纯被动Nasdaq 100 ETF，无期权覆盖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作为无覆盖的机会成本基准，费用极低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相对同类，QQQX的1年NAV回报16.61%略高于Lipper同类均值14.73%，但5/10年百分位仅34；短板是分配覆盖率69%、ROC占比高，且承担-4%至-7%的结构性折价，长期alpha不显著。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调整后同比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2026年上半年（截至2026-06-30，未经审计）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总投资收入：$5.324 million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-4.8%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净投资收益（NII）：-$1.373 million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亏损较上年同期扩大$0.936 million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2025年度（审计）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总投资收入：$3.9996 million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-62.3%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净投资损失（NII）：-$1.9398 million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亏损较2024年扩大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2024年度（审计）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总投资收入：$10.6049 million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净投资损失（NII）：-$0.4818 million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基金不适用普通公司营收、归母/扣非净利润及毛利率口径；表列总投资收入与NII，金额单位为USD。</w:t>
      </w:r>
    </w:p>
    <w:p>
      <w:pPr>
        <w:spacing w:after="160" w:line="300"/>
      </w:pPr>
      <w:r>
        <w:rPr>
          <w:sz w:val="22"/>
          <w:szCs w:val="22"/>
        </w:rPr>
        <w:t xml:space="preserve">2026年上半年运营导致普通份额净资产增加$109.007 million，主要来自已实现及未实现投资收益，但NII仍为负。2026年5月29日分配来源估计为100%资本返还。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负债/总资产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3.32%（2026-06-30）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负债含卖出期权负债及应付款，不等同有息债务率。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有效杠杆率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0.00%（2026-10-23）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CEFConnect口径；与财报负债项目口径不同。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总费用率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0.89%（截至2025-12-31年度）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年度费率；2026年上半年管理费为$6.155 million。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净投资收益（NII）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-$1.373 million（2026年上半年）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当期总投资收入低于基金费用。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普通份额净资产/NAV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$1,552.837 million；$31.80/股（2026-06-30）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基金资产净值是其适用的核心财务观察指标。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分配来源估计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100%资本返还（截至2026-05-29）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中期估计非最终税务定性，分配不等同投资表现。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约$1.465 billion（2026-10-23）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市价相对NAV折价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2.61%（股价$30.00；NAV $30.98）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1年均值6.60%；3年均值8.09%；5年均值4.00%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EOS：11.87%；EOI：7.43%（同日折价）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分配率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市价口径9.78455%；NAV口径9.53%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估值倍数由程序按2026-10-23收盘数据计算（市盈率/市销率按最近完整财年、市净率按最近一期）</w:t>
      </w:r>
    </w:p>
    <w:p>
      <w:pPr>
        <w:spacing w:after="160" w:line="300"/>
      </w:pPr>
      <w:r>
        <w:rPr>
          <w:sz w:val="22"/>
          <w:szCs w:val="22"/>
        </w:rPr>
        <w:t xml:space="preserve">封闭式基金不适用PE/PB，价格锚是NAV折价：现折价2.61%，处于1年、3年、5年均值（6.60%/8.09%/4.00%）之内偏窄一侧，也低于EOS、EOI同日折价。市价9.78%、NAV口径9.53%的分配率并非由NII支撑，现价隐含的是分配维持+折价不扩的双重假设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机构观点</w:t>
      </w:r>
    </w:p>
    <w:p>
      <w:pPr>
        <w:spacing w:after="160" w:line="300"/>
      </w:pPr>
      <w:r>
        <w:rPr>
          <w:sz w:val="22"/>
          <w:szCs w:val="22"/>
        </w:rPr>
        <w:t xml:space="preserve">无。未见针对QQQX基金本身的可验证机构目标价覆盖。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2026年11月下旬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NPORT-P披露截至2026-09-30季度持仓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备兑开仓覆盖比例与期权到期结构是否变化，覆盖比例下调则防御性减弱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2026年12月初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下一笔季度分配宣告（按惯例）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金额是否维持USD 0.7380/股；上调而NAV未同步走强则折价可能扩大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2026年12月中旬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Nasdaq-100年度成分调整生效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成分调整影响指数权重与备兑头寸delta/gamma，关注对NAV的冲击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2027年1月底前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Form 1099-DIV最终税务性质认定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2026年分配中资本返还占比的最终确认，高于估计值则分配质量更差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2027年3月初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FY2026年度股东报告N-CSR及委托书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全年分配覆盖情况与19(a)资本返还估计，以及是否有新的增发安排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2026-09-01 宣告季度分配USD 0.7380/股，环比持平（中性）</w:t>
      </w:r>
      <w:r>
        <w:rPr>
          <w:sz w:val="22"/>
          <w:szCs w:val="22"/>
        </w:rPr>
        <w:t xml:space="preserve">：除息日2026-09-15，支付日2026-10-01，金额与上季度持平；较2026年3月除息的USD 0.6150已上调20.0%，最新季度年化USD 2.952/股，按2026-10-21收盘USD 30.78计约9.6%。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2026-10-02 424B3修订：增发所得可用于支付分配（利空）</w:t>
      </w:r>
      <w:r>
        <w:rPr>
          <w:sz w:val="22"/>
          <w:szCs w:val="22"/>
        </w:rPr>
        <w:t xml:space="preserve">：招股书补充文件把“净募集资金可用于向股东支付分配”写入用途条款，保留shelf下增发普通股通道；在分配覆盖不足背景下，加大稀释与分配可持续性担忧。文件未披露发行规模及是否已实际销售。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2026-09-03 半年度报告：分配被估计含资本返还（利空）</w:t>
      </w:r>
      <w:r>
        <w:rPr>
          <w:sz w:val="22"/>
          <w:szCs w:val="22"/>
        </w:rPr>
        <w:t xml:space="preserve">：N-CSRS（报告期至2026-06-30）所含19(a)公告（数据至2026-05-29）显示分配额超过净投资收益与已实现净利得，部分被估计为资本返还；2026财年年初至今每股分配USD 1.3530。2026-03-27版19(a)亦给出相同性质估计。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动态覆盖执行有效：FY2024 NAV总回报27.13%跑赢混合基准24.92%，1年NAV回报16.61%高于Lipper同类均值14.73%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分配金额自3月除息$0.6150上调20.0%至年化$2.952/股，二级市场分配率维持约9.6%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无结构性杠杆、有效杠杆0.00%，费用率0.89%，NAV不被融资成本侵蚀，净资产$1,552.8 million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分配覆盖FY2024 76.5%→FY2025 68.9%，ROC占比13.2%→32.4%，2026财年YTD估计100%为资本返还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2026上半年NII -$1.373 million、同比亏损扩大$0.936 million；FY2025总投资收入同比-62.3%至$4.00 million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折价2.61%远窄于3年均值8.09%，价格已提前反映乐观情形，容错空间小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424B3允许募集资金支付分配，若实际增发将摊薄每股NAV、压低现有持有人回报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Nasdaq-100年度成分调整（12月生效）改变备兑头寸delta/gamma，可能放大NAV波动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低波动环境下单位名义权利金被压缩，权利金收入继续下滑将迫使进一步削减分配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开放式ETF（JEPQ、QYLD等）费用更低且无折价，持续分流资金，折价可能重新走阔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季度分配金额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$0.7380/股（2026-09宣告）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维持$0.7380且NAV同步走强，覆盖率回升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再度上调而NAV未涨，或首次下调分配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分配覆盖率与ROC占比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 68.9%；YTD估计100% ROC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覆盖率回到75%以上、ROC占比降至20%以下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全年覆盖率低于70%或最终ROC高于估计值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NAV折价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2.61%（2026-10-23）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折价扩至5%以上后企稳，提供入场缓冲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折价收窄至0附近或转为溢价，安全垫消失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NII与覆盖比例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NII -$1.373 million；覆盖35%-75%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NII转正或覆盖比例主动下调以保留上行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NII亏损再扩大、NPORT-P显示覆盖比例下调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 风险提示：以下仅为基于2026-10-23收盘技术形态与公开资金、事件信息的主观情景推演，不构成投资建议。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价格位于四条粘合均线下方、贴布林下轨，MACD负柱扩张、RSI6偏弱未超卖，形态属弱势整理、方向待选。上方30.3~30.6为密集压制带，下方29.80一线为短期多空分水岭；量能萎缩至均量不足一半，破位与反弹均需成交额放大确认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均线（MA5/10/20/60）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30.32 / MA10 30.55 / MA20 30.62 / MA60 30.54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价格位于四线下方，均线粘合形成上方压制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MACD(12,26,9)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-0.067 / DEA 0.023 / 柱 -0.179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负柱由-0.14扩张，短期动能走弱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RSI6/RSI14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35.7 / RSI14 42.8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偏弱但未进入超卖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布林带(20,2)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 31.43 / 中轨 30.62 / 下轨 29.80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价格贴近下轨，弱势整理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最新成交量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20日均量的0.46倍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明显缩量，杀跌动能有限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30.30~30.65 USD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MA5/10/20/60与布林中轨粘合带；站稳打开31.10~31.50，再上是52周高点31.87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29.80~30.00 USD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布林下轨29.80、10/16盘中低点29.77与整数关口；有效失守则短期箱体失效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29.00~29.30 USD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布林下轨下方约2%~3%的统计延伸；跌破后至52周低点25.35之间缺乏明确参考位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以2026-10-23价格30.00美元为基准，用近300个交易日的收益分布（按当前指数加权日波动率约1.1%缩放，保留这只股票自身的大涨大跌频率）推算未来5个交易日的收盘价范围：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29.30～30.76美元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-2.3%～+2.5%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28.54～31.49美元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-4.9%～+5.0%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震荡整理（相对权重较高，约五成）</w:t>
      </w:r>
      <w:r>
        <w:rPr>
          <w:sz w:val="22"/>
          <w:szCs w:val="22"/>
        </w:rPr>
        <w:t xml:space="preserve">：29.80~30.65 USD内往复；Nasdaq-100在29,208~30,000区间来回，日成交额维持常态200万美元上下、无基金层面新增消息。按历史波动率测算，一周后收盘落在该区间的概率约40%。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偏弱下行（权重中等，约三成）</w:t>
      </w:r>
      <w:r>
        <w:rPr>
          <w:sz w:val="22"/>
          <w:szCs w:val="22"/>
        </w:rPr>
        <w:t xml:space="preserve">：收盘跌破29.80，下探29.00~29.30；大型科技财报后市场继续聚焦AI资本开支回报，或10年期美债收益率重回5.2%上方、12月加息预期强化（期货定价约80%），折价扩大至-5%以上。按历史波动率测算，一周后收盘落在该区间的概率约10%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反弹走强（权重偏低，约两成）</w:t>
      </w:r>
      <w:r>
        <w:rPr>
          <w:sz w:val="22"/>
          <w:szCs w:val="22"/>
        </w:rPr>
        <w:t xml:space="preserve">：收复30.65并站稳，上试31.10~31.50；科技财报超预期+9月核心PCE低于3.1%预期+FOMC偏鸽，且单日成交额放大至350万美元以上确认资金回流。按历史波动率测算，一周后收盘落在该区间的概率约5%。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括号内是主观权重；句末的概率由上面的波动率区间反推，只反映波动幅度、不含方向判断。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30日均量约9.4万~10.2万份，常态日换手率0.19%~0.21%，日成交额区间约170万~350万美元，最新一日仅0.11%、约160万美元，属低流动性小规模封闭式基金，盘口薄、200份以上市价单即可显著影响报价。前十大持有人截至2025-09-30（Yahoo口径）全部为财富管理平台与CEF专业机构，合计机构持股28.62%，无控股股东、无家族或PE型集中持有人；13F有45天申报滞后，2026年三季度以来结构可能已变化。</w:t>
      </w:r>
    </w:p>
    <w:p>
      <w:pPr>
        <w:spacing w:after="160" w:line="300"/>
      </w:pPr>
      <w:r>
        <w:rPr>
          <w:sz w:val="22"/>
          <w:szCs w:val="22"/>
        </w:rPr>
        <w:t xml:space="preserve">若单日成交额放大至350万美元以上（约11.5万份、1.5倍30日均量），视为资金介入信号；跌破29.80时成交额仍低于200万美元则属无量阴跌。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2026-10-23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QQQX XQQQX | Nuveen Nasdaq 100 Dynamic Overwrite Fund | Closed End Fund — https://www.nuveen.com/en-us/closed-end-funds/qqqx-nuveen-nasdaq-100-dynamic-overwrite-fund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Nuveen NASDAQ 100 Dynamic Overwrite Fund - During the reporting period, the portfolio management team varied the core option overwrite level between 41% and 75% — https://www.sec.gov/Archives/edgar/data/1608741/000119312526096090/d71515dncsr.htm#2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Nuveen NASDAQ 100 Dynamic Overwrite Fund - QQQX — https://content-archive.fast-edgar.com/20260306/AD22R22CZZ2RJ2ZU22Z422YS7MGD4Z22Z28Q/index.html#15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N-2 - USD ($) — https://content-archive.fast-edgar.com/20260306/AD22R22CZZ2RJ2ZU22Z422YS7MGD4Z22Z28Q/R1.htm#1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View Filing Data - View Filing Data — https://www.sec.gov/cgi-bin/viewer?action=view&amp;amp;cik=1608741&amp;amp;accession_number=0001193125-26-096090&amp;amp;xbrl_type=f#1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Nuveen NASDAQ 100 Dynamic Overwrite Fund - UNITED STATES — http://archive.fast-edgar.com/20260903/AD2LR22FZZ2RJ2Z222Z42MYL7MGDZZ22D28G/#1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Nuveen NASDAQ 100 Dynamic Overwrite Fund - potentially receive additional cash flow from higher sales of call options — https://www.sec.gov/Archives/edgar/data/1608741/000119312525049497/d917284dncsr.htm#2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Closed-End Fund Association - Nuveen Nasdaq 100 Dynamic Overwrite Fund (QQQX) — https://www.cefa.com/fund-selector/detail/QQQX/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腾讯财经行情（2026-10-23） — https://gu.qq.com/usQQQX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www.sec.gov — https://www.sec.gov/Archives/edgar/data/1338561/000119312526381254/d103031dncsrs.htm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www.sec.gov — https://www.sec.gov/Archives/edgar/data/1608741/000119312525196746/d909974dncsrs.htm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Nuveen NASDAQ 100 Dynamic Overwrite Fund — https://www.sec.gov/Archives/edgar/data/1608741/000119312526096090/d71515dncsr.htm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sec.gov — https://www.sec.gov/Archives/edgar/data/1608741/000119312526381225/d103031dncsrs.htm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QQQX Nuveen NASDAQ 100 Dynamic Overwrite, closed-end fund summary - CEF Connect - Brought to you by Nuveen Closed-End Funds — https://www.cefconnect.com/fund/QQQX?view=fund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CEFConnect - Brought to you by Nuveen Closed-End Funds — https://www.cefconnect.com/Details/SummaryPrint.aspx?Ticker=EOS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QQQX Forecast: Nuveen NASDAQ 100 Dynamic Overwrite Fund — https://www.tipranks.com/mutual-funds/qqqx/forecast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Naveen Real Estate Income Fund (JRS) Naveen Nasdaq 100 Dynamic Overwrite Fund (QQQX) Naveen S&amp;P 500 Dynamic Overwrite Fund (SPXX... — https://documents.nuveen.com/Documents/Nuveen/Default.aspx?uniqueId=3090561f-db35-45be-962b-8ac7d192bb05#1#1#1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Nuveen Core Equity Alpha Fund - UNITED STATES — https://content-archive.fast-edgar.com/20260903/AU2LT22FZZ2RS2Z222ZE2MYKGUTVZZ22D28G/index.html#1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Nuveen Nasdaq 100 Dynamic Overwrite Fund (QQQX) Dividend History, Dates &amp; Yield — https://stockanalysis.com/stocks/qqqx/dividend/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QQQX Dividend: 0.738 | YCharts - Cancel — https://ycharts.com/companies/QQQX/dividend#1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Nuveen Nasdaq 100 Dynamic Overwrite Fund (QQQX) Dividend history - QQQX — https://www.marketlog.com/symbol/qqqx-xngs/dividends#1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Nuveen NASDAQ 100 Dynamic Overwrite Fund (QQQX) Dividend Yield 2026 &amp; History $QQQX - Nuveen NASDAQ 100 Dynamic Overwrite Fund (QQQX) Dividend Yield, Date &amp; History — https://www.marketbeat.com/stocks/NASDAQ/QQQX/dividend/#main#1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QQQX Dividend History, Yield &amp; Payout Dates | Unusual Whales — https://unusualwhales.com/stock/QQQX/dividends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QQQX Income - Cancel — https://ycharts.com/companies/QQQX/income#1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Nuveen NASDAQ 100 Dynamic Overwrite Fund (QQQX) Institutional Ownership 2026 $QQQX - 2/11/2026 | LPL Financial LLC | 584,905 | $16.68M | 0.0% | +7.2% | 1.198% — https://www.marketbeat.com/stocks/NASDAQ/QQQX/institutional-ownership/#2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Nuveen Nasdaq 100 Dynamic Overwrite Fund (QQQX) Stock Major Holders - Yahoo Finance - Skip to navigation Skip to main content Skip to right column — https://beta.finance.yahoo.com/quote/QQQX/holders/#1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Nuveen NASDAQ 100 Dynamic Overwrite Fund (QQQX) Stock Holders - Institutional &amp; Insider Ownership | GuruFocus — https://www.gurufocus.com/stock/QQQX/ownership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Nuveen Nasdaq 100 Dynamic Overwrite Fund — https://aum13f.com/issuer/QQQX?page=1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Nuveen Nasdaq 100 Dynamic Overwrite Fund Fund List | QQQX News &amp; Research — https://capedge.com/company/1608741/nuveen-nasdaq-100-dynamic-overwrite-fund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Who Owns Nuveen NASDAQ 100 Dynamic Overwrite? QQQX Shareholders - Investing.com - Nuveen NASDAQ 100 Dynamic Overwrite Closed End Fund (QQQX) — https://www.investing.com/equities/nuveen-nasdaq-100-dynamic-overwrite-ownership#1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2026-10-23收盘，可能存在时效性差异，具体数据请以公司正式公告及权威数据终端为准。本报告仅为信息整理与研究参考，不构成任何投资建议，投资者应独立判断并自行承担投资风险。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2026-10-24T13:50:34.136Z</dcterms:created>
  <dcterms:modified xsi:type="dcterms:W3CDTF">2026-10-24T13:50:34.136Z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